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AA" w:rsidRPr="00171EC5" w:rsidRDefault="009967AA" w:rsidP="009967AA">
      <w:pPr>
        <w:spacing w:after="0" w:line="240" w:lineRule="auto"/>
        <w:ind w:left="-90"/>
        <w:jc w:val="center"/>
        <w:rPr>
          <w:rFonts w:ascii="Helvetica-BoldOblique" w:hAnsi="Helvetica-BoldOblique" w:cs="Helvetica-BoldOblique"/>
          <w:b/>
          <w:bCs/>
          <w:i/>
          <w:iCs/>
          <w:color w:val="000000"/>
          <w:sz w:val="28"/>
          <w:szCs w:val="28"/>
        </w:rPr>
      </w:pPr>
      <w:r>
        <w:rPr>
          <w:rFonts w:asciiTheme="majorBidi" w:hAnsiTheme="majorBidi" w:cstheme="majorBidi"/>
          <w:b/>
          <w:bCs/>
          <w:noProof/>
          <w:color w:val="000000" w:themeColor="text1"/>
          <w:sz w:val="28"/>
          <w:szCs w:val="28"/>
        </w:rPr>
        <w:drawing>
          <wp:anchor distT="0" distB="0" distL="114300" distR="114300" simplePos="0" relativeHeight="251662336" behindDoc="1" locked="0" layoutInCell="1" allowOverlap="1">
            <wp:simplePos x="0" y="0"/>
            <wp:positionH relativeFrom="column">
              <wp:posOffset>4972050</wp:posOffset>
            </wp:positionH>
            <wp:positionV relativeFrom="paragraph">
              <wp:posOffset>-20320</wp:posOffset>
            </wp:positionV>
            <wp:extent cx="773430" cy="885825"/>
            <wp:effectExtent l="19050" t="0" r="7620" b="0"/>
            <wp:wrapTight wrapText="bothSides">
              <wp:wrapPolygon edited="0">
                <wp:start x="6384" y="0"/>
                <wp:lineTo x="2660" y="2787"/>
                <wp:lineTo x="-532" y="6039"/>
                <wp:lineTo x="532" y="18116"/>
                <wp:lineTo x="2128" y="19510"/>
                <wp:lineTo x="7448" y="19510"/>
                <wp:lineTo x="15429" y="19510"/>
                <wp:lineTo x="17557" y="19510"/>
                <wp:lineTo x="21281" y="16258"/>
                <wp:lineTo x="20749" y="14865"/>
                <wp:lineTo x="21813" y="9290"/>
                <wp:lineTo x="21813" y="2787"/>
                <wp:lineTo x="17025" y="0"/>
                <wp:lineTo x="9576" y="0"/>
                <wp:lineTo x="6384" y="0"/>
              </wp:wrapPolygon>
            </wp:wrapTight>
            <wp:docPr id="1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logo.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3430" cy="885825"/>
                    </a:xfrm>
                    <a:prstGeom prst="rect">
                      <a:avLst/>
                    </a:prstGeom>
                  </pic:spPr>
                </pic:pic>
              </a:graphicData>
            </a:graphic>
          </wp:anchor>
        </w:drawing>
      </w:r>
      <w:r>
        <w:rPr>
          <w:rFonts w:asciiTheme="majorBidi" w:hAnsiTheme="majorBidi" w:cstheme="majorBidi"/>
          <w:b/>
          <w:bCs/>
          <w:noProof/>
          <w:color w:val="000000" w:themeColor="text1"/>
          <w:sz w:val="28"/>
          <w:szCs w:val="28"/>
        </w:rPr>
        <w:drawing>
          <wp:anchor distT="0" distB="0" distL="114300" distR="114300" simplePos="0" relativeHeight="251661312" behindDoc="1" locked="0" layoutInCell="1" allowOverlap="1">
            <wp:simplePos x="0" y="0"/>
            <wp:positionH relativeFrom="column">
              <wp:posOffset>85725</wp:posOffset>
            </wp:positionH>
            <wp:positionV relativeFrom="paragraph">
              <wp:posOffset>74930</wp:posOffset>
            </wp:positionV>
            <wp:extent cx="853440" cy="685800"/>
            <wp:effectExtent l="19050" t="0" r="3810" b="0"/>
            <wp:wrapTight wrapText="bothSides">
              <wp:wrapPolygon edited="0">
                <wp:start x="-482" y="0"/>
                <wp:lineTo x="-482" y="21000"/>
                <wp:lineTo x="21696" y="21000"/>
                <wp:lineTo x="21696" y="0"/>
                <wp:lineTo x="-482" y="0"/>
              </wp:wrapPolygon>
            </wp:wrapTight>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cstate="print"/>
                    <a:srcRect/>
                    <a:stretch>
                      <a:fillRect/>
                    </a:stretch>
                  </pic:blipFill>
                  <pic:spPr bwMode="auto">
                    <a:xfrm>
                      <a:off x="0" y="0"/>
                      <a:ext cx="853440" cy="685800"/>
                    </a:xfrm>
                    <a:prstGeom prst="rect">
                      <a:avLst/>
                    </a:prstGeom>
                    <a:noFill/>
                    <a:ln w="9525">
                      <a:noFill/>
                      <a:miter lim="800000"/>
                      <a:headEnd/>
                      <a:tailEnd/>
                    </a:ln>
                  </pic:spPr>
                </pic:pic>
              </a:graphicData>
            </a:graphic>
          </wp:anchor>
        </w:drawing>
      </w:r>
      <w:r w:rsidRPr="00171EC5">
        <w:rPr>
          <w:rFonts w:ascii="Helvetica-BoldOblique" w:hAnsi="Helvetica-BoldOblique" w:cs="Helvetica-BoldOblique"/>
          <w:b/>
          <w:bCs/>
          <w:i/>
          <w:iCs/>
          <w:color w:val="000000"/>
          <w:sz w:val="28"/>
          <w:szCs w:val="28"/>
        </w:rPr>
        <w:t>Medical Journal of Babylon</w:t>
      </w:r>
    </w:p>
    <w:p w:rsidR="009967AA" w:rsidRPr="00171EC5" w:rsidRDefault="009967AA" w:rsidP="0076367F">
      <w:pPr>
        <w:autoSpaceDE w:val="0"/>
        <w:autoSpaceDN w:val="0"/>
        <w:adjustRightInd w:val="0"/>
        <w:spacing w:after="0" w:line="240" w:lineRule="auto"/>
        <w:ind w:left="180"/>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w:t>
      </w:r>
      <w:r>
        <w:rPr>
          <w:rFonts w:ascii="Helvetica-BoldOblique" w:hAnsi="Helvetica-BoldOblique" w:cs="Helvetica-BoldOblique"/>
          <w:b/>
          <w:bCs/>
          <w:i/>
          <w:iCs/>
          <w:color w:val="000000"/>
          <w:sz w:val="26"/>
          <w:szCs w:val="26"/>
          <w:lang w:val="en-IN"/>
        </w:rPr>
        <w:t>3</w:t>
      </w:r>
      <w:r w:rsidRPr="00171EC5">
        <w:rPr>
          <w:rFonts w:ascii="Helvetica-BoldOblique" w:hAnsi="Helvetica-BoldOblique" w:cs="Helvetica-BoldOblique"/>
          <w:b/>
          <w:bCs/>
          <w:i/>
          <w:iCs/>
          <w:color w:val="000000"/>
          <w:sz w:val="26"/>
          <w:szCs w:val="26"/>
        </w:rPr>
        <w:t xml:space="preserve">- No. </w:t>
      </w:r>
      <w:r>
        <w:rPr>
          <w:rFonts w:ascii="Helvetica-BoldOblique" w:hAnsi="Helvetica-BoldOblique" w:cs="Helvetica-BoldOblique"/>
          <w:b/>
          <w:bCs/>
          <w:i/>
          <w:iCs/>
          <w:color w:val="000000"/>
          <w:sz w:val="26"/>
          <w:szCs w:val="26"/>
        </w:rPr>
        <w:t>1:</w:t>
      </w:r>
      <w:r w:rsidR="0076367F">
        <w:rPr>
          <w:rFonts w:ascii="Helvetica-BoldOblique" w:hAnsi="Helvetica-BoldOblique" w:cs="Helvetica-BoldOblique"/>
          <w:b/>
          <w:bCs/>
          <w:i/>
          <w:iCs/>
          <w:color w:val="000000"/>
          <w:sz w:val="26"/>
          <w:szCs w:val="26"/>
        </w:rPr>
        <w:t xml:space="preserve"> </w:t>
      </w:r>
      <w:r w:rsidR="003B6F7E">
        <w:rPr>
          <w:rFonts w:ascii="Helvetica-BoldOblique" w:hAnsi="Helvetica-BoldOblique" w:cs="Helvetica-BoldOblique"/>
          <w:b/>
          <w:bCs/>
          <w:i/>
          <w:iCs/>
          <w:color w:val="000000"/>
          <w:sz w:val="26"/>
          <w:szCs w:val="26"/>
        </w:rPr>
        <w:t>51</w:t>
      </w:r>
      <w:r>
        <w:rPr>
          <w:rFonts w:ascii="Helvetica-BoldOblique" w:hAnsi="Helvetica-BoldOblique" w:cs="Helvetica-BoldOblique"/>
          <w:b/>
          <w:bCs/>
          <w:i/>
          <w:iCs/>
          <w:color w:val="000000"/>
          <w:sz w:val="26"/>
          <w:szCs w:val="26"/>
        </w:rPr>
        <w:t xml:space="preserve"> -</w:t>
      </w:r>
      <w:r w:rsidR="0076367F">
        <w:rPr>
          <w:rFonts w:ascii="Helvetica-BoldOblique" w:hAnsi="Helvetica-BoldOblique" w:cs="Helvetica-BoldOblique"/>
          <w:b/>
          <w:bCs/>
          <w:i/>
          <w:iCs/>
          <w:color w:val="000000"/>
          <w:sz w:val="26"/>
          <w:szCs w:val="26"/>
        </w:rPr>
        <w:t>58</w:t>
      </w:r>
      <w:r>
        <w:rPr>
          <w:rFonts w:ascii="Helvetica-BoldOblique" w:hAnsi="Helvetica-BoldOblique" w:cs="Helvetica-BoldOblique"/>
          <w:b/>
          <w:bCs/>
          <w:i/>
          <w:iCs/>
          <w:color w:val="000000"/>
          <w:sz w:val="26"/>
          <w:szCs w:val="26"/>
        </w:rPr>
        <w:t xml:space="preserve"> , 2016</w:t>
      </w:r>
    </w:p>
    <w:p w:rsidR="009967AA" w:rsidRPr="00514D12" w:rsidRDefault="000304AD" w:rsidP="009967AA">
      <w:pPr>
        <w:spacing w:after="0" w:line="240" w:lineRule="auto"/>
        <w:ind w:left="187"/>
        <w:jc w:val="center"/>
        <w:rPr>
          <w:color w:val="000000" w:themeColor="text1"/>
          <w:sz w:val="26"/>
          <w:szCs w:val="26"/>
        </w:rPr>
      </w:pPr>
      <w:hyperlink r:id="rId10" w:history="1">
        <w:r w:rsidR="009967AA" w:rsidRPr="00514D12">
          <w:rPr>
            <w:rStyle w:val="Hyperlink"/>
            <w:rFonts w:ascii="Helvetica-Oblique" w:hAnsi="Helvetica-Oblique" w:cs="Helvetica-Oblique"/>
            <w:i/>
            <w:iCs/>
            <w:sz w:val="26"/>
            <w:szCs w:val="26"/>
          </w:rPr>
          <w:t>http://www.medicaljb.com</w:t>
        </w:r>
      </w:hyperlink>
    </w:p>
    <w:p w:rsidR="009967AA" w:rsidRDefault="009967AA" w:rsidP="009967AA">
      <w:pPr>
        <w:autoSpaceDE w:val="0"/>
        <w:autoSpaceDN w:val="0"/>
        <w:adjustRightInd w:val="0"/>
        <w:spacing w:after="0" w:line="240" w:lineRule="auto"/>
        <w:ind w:left="180"/>
        <w:jc w:val="center"/>
        <w:rPr>
          <w:rFonts w:asciiTheme="majorBidi" w:hAnsiTheme="majorBidi" w:cstheme="majorBidi"/>
          <w:b/>
          <w:bCs/>
          <w:color w:val="000000" w:themeColor="text1"/>
          <w:sz w:val="28"/>
          <w:szCs w:val="28"/>
          <w:lang w:bidi="ar-IQ"/>
        </w:rPr>
      </w:pPr>
      <w:r w:rsidRPr="00171EC5">
        <w:rPr>
          <w:rFonts w:ascii="Helvetica-BoldOblique" w:hAnsi="Helvetica-BoldOblique" w:cs="Helvetica-BoldOblique"/>
          <w:b/>
          <w:bCs/>
          <w:i/>
          <w:iCs/>
          <w:color w:val="000000"/>
          <w:sz w:val="24"/>
          <w:szCs w:val="24"/>
        </w:rPr>
        <w:t>ISSN 2312-6760</w:t>
      </w:r>
      <w:r>
        <w:rPr>
          <w:rFonts w:ascii="Helvetica-BoldOblique" w:hAnsi="Helvetica-BoldOblique" w:cs="Helvetica-BoldOblique"/>
          <w:b/>
          <w:bCs/>
          <w:i/>
          <w:iCs/>
          <w:color w:val="000000"/>
          <w:sz w:val="24"/>
          <w:szCs w:val="24"/>
        </w:rPr>
        <w:t>©2016 University of Babylon</w:t>
      </w:r>
    </w:p>
    <w:p w:rsidR="009967AA" w:rsidRDefault="000304AD" w:rsidP="009967AA">
      <w:pPr>
        <w:spacing w:after="0" w:line="240" w:lineRule="auto"/>
        <w:ind w:left="-90"/>
        <w:jc w:val="center"/>
        <w:rPr>
          <w:rFonts w:asciiTheme="majorBidi" w:hAnsiTheme="majorBidi" w:cstheme="majorBidi"/>
          <w:b/>
          <w:bCs/>
          <w:color w:val="000000" w:themeColor="text1"/>
          <w:sz w:val="28"/>
          <w:szCs w:val="28"/>
          <w:lang w:bidi="ar-IQ"/>
        </w:rPr>
      </w:pPr>
      <w:r>
        <w:rPr>
          <w:rFonts w:asciiTheme="majorBidi" w:hAnsiTheme="majorBidi" w:cstheme="majorBidi"/>
          <w:b/>
          <w:bCs/>
          <w:noProof/>
          <w:color w:val="000000" w:themeColor="text1"/>
          <w:sz w:val="28"/>
          <w:szCs w:val="28"/>
        </w:rPr>
        <w:pict>
          <v:line id="رابط مستقيم 1" o:spid="_x0000_s1026" style="position:absolute;left:0;text-align:left;z-index:251660288;visibility:visible;mso-width-relative:margin;mso-height-relative:margin" from="-1.25pt,6.3pt" to="46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color="black [3213]" strokeweight="2pt"/>
        </w:pict>
      </w:r>
    </w:p>
    <w:p w:rsidR="009967AA" w:rsidRDefault="009967AA" w:rsidP="009967AA">
      <w:pPr>
        <w:spacing w:after="0" w:line="240" w:lineRule="auto"/>
        <w:rPr>
          <w:rFonts w:asciiTheme="majorBidi" w:hAnsiTheme="majorBidi" w:cstheme="majorBidi"/>
          <w:b/>
          <w:bCs/>
          <w:color w:val="000000" w:themeColor="text1"/>
          <w:sz w:val="4"/>
          <w:szCs w:val="4"/>
          <w:lang w:bidi="ar-IQ"/>
        </w:rPr>
      </w:pPr>
    </w:p>
    <w:p w:rsidR="009967AA" w:rsidRDefault="009967AA" w:rsidP="009967AA">
      <w:pPr>
        <w:spacing w:after="0" w:line="240" w:lineRule="auto"/>
        <w:jc w:val="right"/>
        <w:rPr>
          <w:rFonts w:asciiTheme="majorBidi" w:hAnsiTheme="majorBidi" w:cstheme="majorBidi"/>
          <w:i/>
          <w:iCs/>
          <w:sz w:val="30"/>
          <w:szCs w:val="30"/>
          <w:rtl/>
          <w:lang w:bidi="ar-IQ"/>
        </w:rPr>
      </w:pPr>
      <w:r w:rsidRPr="004F4C9A">
        <w:rPr>
          <w:rFonts w:asciiTheme="majorBidi" w:hAnsiTheme="majorBidi" w:cstheme="majorBidi"/>
          <w:i/>
          <w:iCs/>
          <w:sz w:val="30"/>
          <w:szCs w:val="30"/>
        </w:rPr>
        <w:t>Original</w:t>
      </w:r>
      <w:r w:rsidRPr="00EB37B7">
        <w:rPr>
          <w:rFonts w:asciiTheme="majorBidi" w:hAnsiTheme="majorBidi" w:cstheme="majorBidi"/>
          <w:i/>
          <w:iCs/>
          <w:sz w:val="30"/>
          <w:szCs w:val="30"/>
        </w:rPr>
        <w:t xml:space="preserve"> Research Article</w:t>
      </w:r>
    </w:p>
    <w:p w:rsidR="009967AA" w:rsidRPr="009967AA" w:rsidRDefault="009967AA" w:rsidP="009967AA">
      <w:pPr>
        <w:bidi w:val="0"/>
        <w:spacing w:after="0" w:line="240" w:lineRule="auto"/>
        <w:jc w:val="both"/>
        <w:rPr>
          <w:rFonts w:asciiTheme="majorBidi" w:hAnsiTheme="majorBidi" w:cstheme="majorBidi"/>
          <w:b/>
          <w:bCs/>
          <w:sz w:val="16"/>
          <w:szCs w:val="16"/>
          <w:lang w:bidi="ar-IQ"/>
        </w:rPr>
      </w:pPr>
    </w:p>
    <w:p w:rsidR="00C67568" w:rsidRDefault="00C67568" w:rsidP="009967AA">
      <w:pPr>
        <w:bidi w:val="0"/>
        <w:spacing w:after="0" w:line="240" w:lineRule="auto"/>
        <w:jc w:val="center"/>
        <w:rPr>
          <w:rFonts w:asciiTheme="majorBidi" w:hAnsiTheme="majorBidi" w:cstheme="majorBidi"/>
          <w:b/>
          <w:bCs/>
          <w:sz w:val="28"/>
          <w:szCs w:val="28"/>
          <w:lang w:bidi="ar-IQ"/>
        </w:rPr>
      </w:pPr>
      <w:r w:rsidRPr="009967AA">
        <w:rPr>
          <w:rFonts w:asciiTheme="majorBidi" w:hAnsiTheme="majorBidi" w:cstheme="majorBidi"/>
          <w:b/>
          <w:bCs/>
          <w:sz w:val="28"/>
          <w:szCs w:val="28"/>
          <w:lang w:bidi="ar-IQ"/>
        </w:rPr>
        <w:t xml:space="preserve">Assessment </w:t>
      </w:r>
      <w:r w:rsidR="009967AA">
        <w:rPr>
          <w:rFonts w:asciiTheme="majorBidi" w:hAnsiTheme="majorBidi" w:cstheme="majorBidi"/>
          <w:b/>
          <w:bCs/>
          <w:sz w:val="28"/>
          <w:szCs w:val="28"/>
          <w:lang w:bidi="ar-IQ"/>
        </w:rPr>
        <w:t>o</w:t>
      </w:r>
      <w:r w:rsidR="009967AA" w:rsidRPr="009967AA">
        <w:rPr>
          <w:rFonts w:asciiTheme="majorBidi" w:hAnsiTheme="majorBidi" w:cstheme="majorBidi"/>
          <w:b/>
          <w:bCs/>
          <w:sz w:val="28"/>
          <w:szCs w:val="28"/>
          <w:lang w:bidi="ar-IQ"/>
        </w:rPr>
        <w:t xml:space="preserve">f Responses </w:t>
      </w:r>
      <w:r w:rsidR="009967AA">
        <w:rPr>
          <w:rFonts w:asciiTheme="majorBidi" w:hAnsiTheme="majorBidi" w:cstheme="majorBidi"/>
          <w:b/>
          <w:bCs/>
          <w:sz w:val="28"/>
          <w:szCs w:val="28"/>
          <w:lang w:bidi="ar-IQ"/>
        </w:rPr>
        <w:t>a</w:t>
      </w:r>
      <w:r w:rsidR="009967AA" w:rsidRPr="009967AA">
        <w:rPr>
          <w:rFonts w:asciiTheme="majorBidi" w:hAnsiTheme="majorBidi" w:cstheme="majorBidi"/>
          <w:b/>
          <w:bCs/>
          <w:sz w:val="28"/>
          <w:szCs w:val="28"/>
          <w:lang w:bidi="ar-IQ"/>
        </w:rPr>
        <w:t xml:space="preserve">nd Adverse Effect  </w:t>
      </w:r>
      <w:r w:rsidR="009967AA">
        <w:rPr>
          <w:rFonts w:asciiTheme="majorBidi" w:hAnsiTheme="majorBidi" w:cstheme="majorBidi"/>
          <w:b/>
          <w:bCs/>
          <w:sz w:val="28"/>
          <w:szCs w:val="28"/>
          <w:lang w:bidi="ar-IQ"/>
        </w:rPr>
        <w:t>b</w:t>
      </w:r>
      <w:r w:rsidR="009967AA" w:rsidRPr="009967AA">
        <w:rPr>
          <w:rFonts w:asciiTheme="majorBidi" w:hAnsiTheme="majorBidi" w:cstheme="majorBidi"/>
          <w:b/>
          <w:bCs/>
          <w:sz w:val="28"/>
          <w:szCs w:val="28"/>
          <w:lang w:bidi="ar-IQ"/>
        </w:rPr>
        <w:t xml:space="preserve">etween Chronic Myeloid Leukemia Patients Receiving </w:t>
      </w:r>
      <w:r w:rsidR="003566F1" w:rsidRPr="009967AA">
        <w:rPr>
          <w:rFonts w:asciiTheme="majorBidi" w:hAnsiTheme="majorBidi" w:cstheme="majorBidi"/>
          <w:b/>
          <w:bCs/>
          <w:sz w:val="28"/>
          <w:szCs w:val="28"/>
          <w:lang w:bidi="ar-IQ"/>
        </w:rPr>
        <w:t>Imatinib</w:t>
      </w:r>
      <w:r w:rsidR="009967AA" w:rsidRPr="009967AA">
        <w:rPr>
          <w:rFonts w:asciiTheme="majorBidi" w:hAnsiTheme="majorBidi" w:cstheme="majorBidi"/>
          <w:b/>
          <w:bCs/>
          <w:sz w:val="28"/>
          <w:szCs w:val="28"/>
          <w:lang w:bidi="ar-IQ"/>
        </w:rPr>
        <w:t xml:space="preserve">Versus </w:t>
      </w:r>
      <w:r w:rsidR="003566F1" w:rsidRPr="009967AA">
        <w:rPr>
          <w:rFonts w:asciiTheme="majorBidi" w:hAnsiTheme="majorBidi" w:cstheme="majorBidi"/>
          <w:b/>
          <w:bCs/>
          <w:sz w:val="28"/>
          <w:szCs w:val="28"/>
          <w:lang w:bidi="ar-IQ"/>
        </w:rPr>
        <w:t>Nilotinib</w:t>
      </w:r>
      <w:r w:rsidR="009967AA" w:rsidRPr="009967AA">
        <w:rPr>
          <w:rFonts w:asciiTheme="majorBidi" w:hAnsiTheme="majorBidi" w:cstheme="majorBidi"/>
          <w:b/>
          <w:bCs/>
          <w:sz w:val="28"/>
          <w:szCs w:val="28"/>
          <w:lang w:bidi="ar-IQ"/>
        </w:rPr>
        <w:t xml:space="preserve">Attending </w:t>
      </w:r>
      <w:r w:rsidR="003566F1" w:rsidRPr="009967AA">
        <w:rPr>
          <w:rFonts w:asciiTheme="majorBidi" w:hAnsiTheme="majorBidi" w:cstheme="majorBidi"/>
          <w:b/>
          <w:bCs/>
          <w:sz w:val="28"/>
          <w:szCs w:val="28"/>
          <w:lang w:bidi="ar-IQ"/>
        </w:rPr>
        <w:t>Me</w:t>
      </w:r>
      <w:r w:rsidRPr="009967AA">
        <w:rPr>
          <w:rFonts w:asciiTheme="majorBidi" w:hAnsiTheme="majorBidi" w:cstheme="majorBidi"/>
          <w:b/>
          <w:bCs/>
          <w:sz w:val="28"/>
          <w:szCs w:val="28"/>
          <w:lang w:bidi="ar-IQ"/>
        </w:rPr>
        <w:t>rjan</w:t>
      </w:r>
      <w:r w:rsidR="009967AA" w:rsidRPr="009967AA">
        <w:rPr>
          <w:rFonts w:asciiTheme="majorBidi" w:hAnsiTheme="majorBidi" w:cstheme="majorBidi"/>
          <w:b/>
          <w:bCs/>
          <w:sz w:val="28"/>
          <w:szCs w:val="28"/>
          <w:lang w:bidi="ar-IQ"/>
        </w:rPr>
        <w:t>Teaching Hospital / Hematological  Unit</w:t>
      </w:r>
    </w:p>
    <w:p w:rsidR="009967AA" w:rsidRPr="009967AA" w:rsidRDefault="009967AA" w:rsidP="009967AA">
      <w:pPr>
        <w:bidi w:val="0"/>
        <w:spacing w:after="0" w:line="240" w:lineRule="auto"/>
        <w:jc w:val="center"/>
        <w:rPr>
          <w:rFonts w:asciiTheme="majorBidi" w:hAnsiTheme="majorBidi" w:cstheme="majorBidi"/>
          <w:b/>
          <w:bCs/>
          <w:sz w:val="16"/>
          <w:szCs w:val="16"/>
          <w:lang w:bidi="ar-IQ"/>
        </w:rPr>
      </w:pPr>
    </w:p>
    <w:p w:rsidR="00B868DC" w:rsidRPr="00DF7500" w:rsidRDefault="00B868DC" w:rsidP="00872A5A">
      <w:pPr>
        <w:bidi w:val="0"/>
        <w:spacing w:after="0" w:line="240" w:lineRule="auto"/>
        <w:jc w:val="center"/>
        <w:rPr>
          <w:rFonts w:asciiTheme="majorBidi" w:hAnsiTheme="majorBidi" w:cstheme="majorBidi"/>
          <w:sz w:val="24"/>
          <w:szCs w:val="24"/>
          <w:vertAlign w:val="superscript"/>
          <w:rtl/>
          <w:lang w:bidi="ar-IQ"/>
        </w:rPr>
      </w:pPr>
      <w:r w:rsidRPr="009967AA">
        <w:rPr>
          <w:rFonts w:asciiTheme="majorBidi" w:hAnsiTheme="majorBidi" w:cstheme="majorBidi"/>
          <w:sz w:val="24"/>
          <w:szCs w:val="24"/>
          <w:lang w:bidi="ar-IQ"/>
        </w:rPr>
        <w:t>A</w:t>
      </w:r>
      <w:r w:rsidR="00DF4FF0" w:rsidRPr="009967AA">
        <w:rPr>
          <w:rFonts w:asciiTheme="majorBidi" w:hAnsiTheme="majorBidi" w:cstheme="majorBidi"/>
          <w:sz w:val="24"/>
          <w:szCs w:val="24"/>
          <w:lang w:bidi="ar-IQ"/>
        </w:rPr>
        <w:t>l</w:t>
      </w:r>
      <w:r w:rsidRPr="009967AA">
        <w:rPr>
          <w:rFonts w:asciiTheme="majorBidi" w:hAnsiTheme="majorBidi" w:cstheme="majorBidi"/>
          <w:sz w:val="24"/>
          <w:szCs w:val="24"/>
          <w:lang w:bidi="ar-IQ"/>
        </w:rPr>
        <w:t>aa</w:t>
      </w:r>
      <w:r w:rsidR="003B6F7E">
        <w:rPr>
          <w:rFonts w:asciiTheme="majorBidi" w:hAnsiTheme="majorBidi" w:cstheme="majorBidi"/>
          <w:sz w:val="24"/>
          <w:szCs w:val="24"/>
          <w:lang w:bidi="ar-IQ"/>
        </w:rPr>
        <w:t xml:space="preserve"> </w:t>
      </w:r>
      <w:r w:rsidRPr="009967AA">
        <w:rPr>
          <w:rFonts w:asciiTheme="majorBidi" w:hAnsiTheme="majorBidi" w:cstheme="majorBidi"/>
          <w:sz w:val="24"/>
          <w:szCs w:val="24"/>
          <w:lang w:bidi="ar-IQ"/>
        </w:rPr>
        <w:t>Sadeq Al-Awad</w:t>
      </w:r>
      <w:r w:rsidR="00872A5A">
        <w:rPr>
          <w:rFonts w:asciiTheme="majorBidi" w:hAnsiTheme="majorBidi" w:cstheme="majorBidi"/>
          <w:sz w:val="24"/>
          <w:szCs w:val="24"/>
          <w:lang w:bidi="ar-IQ"/>
        </w:rPr>
        <w:t xml:space="preserve"> </w:t>
      </w:r>
      <w:r w:rsidR="003B6F7E">
        <w:rPr>
          <w:rFonts w:asciiTheme="majorBidi" w:hAnsiTheme="majorBidi" w:cstheme="majorBidi"/>
          <w:sz w:val="24"/>
          <w:szCs w:val="24"/>
          <w:lang w:bidi="ar-IQ"/>
        </w:rPr>
        <w:t xml:space="preserve">    </w:t>
      </w:r>
      <w:r w:rsidRPr="009967AA">
        <w:rPr>
          <w:rFonts w:asciiTheme="majorBidi" w:hAnsiTheme="majorBidi" w:cstheme="majorBidi"/>
          <w:sz w:val="24"/>
          <w:szCs w:val="24"/>
          <w:lang w:bidi="ar-IQ"/>
        </w:rPr>
        <w:t>Liqaa M</w:t>
      </w:r>
      <w:r w:rsidR="00872A5A">
        <w:rPr>
          <w:rFonts w:asciiTheme="majorBidi" w:hAnsiTheme="majorBidi" w:cstheme="majorBidi"/>
          <w:sz w:val="24"/>
          <w:szCs w:val="24"/>
          <w:lang w:bidi="ar-IQ"/>
        </w:rPr>
        <w:t>mohammed</w:t>
      </w:r>
      <w:r w:rsidRPr="009967AA">
        <w:rPr>
          <w:rFonts w:asciiTheme="majorBidi" w:hAnsiTheme="majorBidi" w:cstheme="majorBidi"/>
          <w:sz w:val="24"/>
          <w:szCs w:val="24"/>
          <w:lang w:bidi="ar-IQ"/>
        </w:rPr>
        <w:t xml:space="preserve"> Majeed Al-Sharif</w:t>
      </w:r>
      <w:r w:rsidR="00B8597E" w:rsidRPr="009967AA">
        <w:rPr>
          <w:rFonts w:asciiTheme="majorBidi" w:hAnsiTheme="majorBidi" w:cstheme="majorBidi"/>
          <w:sz w:val="24"/>
          <w:szCs w:val="24"/>
          <w:lang w:bidi="ar-IQ"/>
        </w:rPr>
        <w:t>i</w:t>
      </w:r>
      <w:r w:rsidR="00DF7500">
        <w:rPr>
          <w:rFonts w:asciiTheme="majorBidi" w:hAnsiTheme="majorBidi" w:cstheme="majorBidi"/>
          <w:sz w:val="24"/>
          <w:szCs w:val="24"/>
          <w:vertAlign w:val="superscript"/>
          <w:lang w:bidi="ar-IQ"/>
        </w:rPr>
        <w:t>*</w:t>
      </w:r>
    </w:p>
    <w:p w:rsidR="006E5032" w:rsidRDefault="00B868DC" w:rsidP="009967AA">
      <w:pPr>
        <w:bidi w:val="0"/>
        <w:spacing w:after="0" w:line="240" w:lineRule="auto"/>
        <w:jc w:val="center"/>
        <w:rPr>
          <w:rFonts w:asciiTheme="majorBidi" w:hAnsiTheme="majorBidi" w:cstheme="majorBidi"/>
          <w:lang w:bidi="ar-IQ"/>
        </w:rPr>
      </w:pPr>
      <w:r w:rsidRPr="009967AA">
        <w:rPr>
          <w:rFonts w:asciiTheme="majorBidi" w:hAnsiTheme="majorBidi" w:cstheme="majorBidi"/>
          <w:lang w:bidi="ar-IQ"/>
        </w:rPr>
        <w:t>Coll</w:t>
      </w:r>
      <w:r w:rsidR="009967AA" w:rsidRPr="009967AA">
        <w:rPr>
          <w:rFonts w:asciiTheme="majorBidi" w:hAnsiTheme="majorBidi" w:cstheme="majorBidi"/>
          <w:lang w:bidi="ar-IQ"/>
        </w:rPr>
        <w:t>e</w:t>
      </w:r>
      <w:r w:rsidRPr="009967AA">
        <w:rPr>
          <w:rFonts w:asciiTheme="majorBidi" w:hAnsiTheme="majorBidi" w:cstheme="majorBidi"/>
          <w:lang w:bidi="ar-IQ"/>
        </w:rPr>
        <w:t xml:space="preserve">ge of </w:t>
      </w:r>
      <w:r w:rsidR="009967AA" w:rsidRPr="009967AA">
        <w:rPr>
          <w:rFonts w:asciiTheme="majorBidi" w:hAnsiTheme="majorBidi" w:cstheme="majorBidi"/>
          <w:lang w:bidi="ar-IQ"/>
        </w:rPr>
        <w:t>M</w:t>
      </w:r>
      <w:r w:rsidRPr="009967AA">
        <w:rPr>
          <w:rFonts w:asciiTheme="majorBidi" w:hAnsiTheme="majorBidi" w:cstheme="majorBidi"/>
          <w:lang w:bidi="ar-IQ"/>
        </w:rPr>
        <w:t>edicin</w:t>
      </w:r>
      <w:r w:rsidR="000420E4" w:rsidRPr="009967AA">
        <w:rPr>
          <w:rFonts w:asciiTheme="majorBidi" w:hAnsiTheme="majorBidi" w:cstheme="majorBidi"/>
          <w:lang w:bidi="ar-IQ"/>
        </w:rPr>
        <w:t>e</w:t>
      </w:r>
      <w:r w:rsidR="009967AA" w:rsidRPr="009967AA">
        <w:rPr>
          <w:rFonts w:asciiTheme="majorBidi" w:hAnsiTheme="majorBidi" w:cstheme="majorBidi"/>
          <w:lang w:bidi="ar-IQ"/>
        </w:rPr>
        <w:t xml:space="preserve">,University of </w:t>
      </w:r>
      <w:r w:rsidRPr="009967AA">
        <w:rPr>
          <w:rFonts w:asciiTheme="majorBidi" w:hAnsiTheme="majorBidi" w:cstheme="majorBidi"/>
          <w:lang w:bidi="ar-IQ"/>
        </w:rPr>
        <w:t>Babylon</w:t>
      </w:r>
      <w:r w:rsidR="009967AA" w:rsidRPr="009967AA">
        <w:rPr>
          <w:rFonts w:asciiTheme="majorBidi" w:hAnsiTheme="majorBidi" w:cstheme="majorBidi"/>
          <w:lang w:bidi="ar-IQ"/>
        </w:rPr>
        <w:t>, Hilla, IRAQ</w:t>
      </w:r>
    </w:p>
    <w:p w:rsidR="009967AA" w:rsidRPr="009967AA" w:rsidRDefault="009967AA" w:rsidP="009967AA">
      <w:pPr>
        <w:bidi w:val="0"/>
        <w:spacing w:after="0" w:line="240" w:lineRule="auto"/>
        <w:jc w:val="center"/>
        <w:rPr>
          <w:rFonts w:asciiTheme="majorBidi" w:hAnsiTheme="majorBidi" w:cstheme="majorBidi"/>
          <w:sz w:val="14"/>
          <w:szCs w:val="14"/>
          <w:rtl/>
          <w:lang w:bidi="ar-IQ"/>
        </w:rPr>
      </w:pPr>
    </w:p>
    <w:p w:rsidR="00C67568" w:rsidRPr="00AD6231" w:rsidRDefault="00DF7500" w:rsidP="009967AA">
      <w:pPr>
        <w:bidi w:val="0"/>
        <w:spacing w:after="0" w:line="240" w:lineRule="auto"/>
        <w:jc w:val="both"/>
        <w:rPr>
          <w:rFonts w:asciiTheme="majorBidi" w:hAnsiTheme="majorBidi" w:cstheme="majorBidi"/>
          <w:color w:val="000000" w:themeColor="text1"/>
          <w:sz w:val="20"/>
          <w:szCs w:val="20"/>
          <w:lang w:bidi="ar-IQ"/>
        </w:rPr>
      </w:pPr>
      <w:r>
        <w:rPr>
          <w:rFonts w:asciiTheme="majorBidi" w:hAnsiTheme="majorBidi" w:cstheme="majorBidi"/>
          <w:color w:val="000000" w:themeColor="text1"/>
          <w:sz w:val="20"/>
          <w:szCs w:val="20"/>
          <w:vertAlign w:val="superscript"/>
          <w:lang w:bidi="ar-IQ"/>
        </w:rPr>
        <w:t>*</w:t>
      </w:r>
      <w:r w:rsidR="006E5032" w:rsidRPr="00AD6231">
        <w:rPr>
          <w:rFonts w:asciiTheme="majorBidi" w:hAnsiTheme="majorBidi" w:cstheme="majorBidi"/>
          <w:color w:val="000000" w:themeColor="text1"/>
          <w:sz w:val="20"/>
          <w:szCs w:val="20"/>
          <w:lang w:bidi="ar-IQ"/>
        </w:rPr>
        <w:t xml:space="preserve">E-mail: </w:t>
      </w:r>
      <w:hyperlink r:id="rId11" w:history="1">
        <w:r w:rsidR="009967AA" w:rsidRPr="00AD6231">
          <w:rPr>
            <w:rStyle w:val="Hyperlink"/>
            <w:rFonts w:asciiTheme="majorBidi" w:hAnsiTheme="majorBidi" w:cstheme="majorBidi"/>
            <w:color w:val="000000" w:themeColor="text1"/>
            <w:sz w:val="20"/>
            <w:szCs w:val="20"/>
            <w:u w:val="none"/>
            <w:lang w:bidi="ar-IQ"/>
          </w:rPr>
          <w:t>mohammedliqaa79@gmail.com</w:t>
        </w:r>
      </w:hyperlink>
    </w:p>
    <w:p w:rsidR="009967AA" w:rsidRPr="00AD6231" w:rsidRDefault="009967AA" w:rsidP="009967AA">
      <w:pPr>
        <w:bidi w:val="0"/>
        <w:spacing w:after="0" w:line="240" w:lineRule="auto"/>
        <w:jc w:val="both"/>
        <w:rPr>
          <w:rFonts w:asciiTheme="majorBidi" w:hAnsiTheme="majorBidi" w:cstheme="majorBidi"/>
          <w:sz w:val="16"/>
          <w:szCs w:val="16"/>
          <w:lang w:bidi="ar-IQ"/>
        </w:rPr>
      </w:pPr>
    </w:p>
    <w:p w:rsidR="009967AA" w:rsidRPr="009967AA" w:rsidRDefault="009967AA" w:rsidP="007711AA">
      <w:pPr>
        <w:spacing w:after="0" w:line="240" w:lineRule="auto"/>
        <w:ind w:right="90"/>
        <w:rPr>
          <w:rFonts w:ascii="Times New Roman" w:hAnsi="Times New Roman" w:cs="Times New Roman"/>
          <w:color w:val="000000" w:themeColor="text1"/>
          <w:sz w:val="24"/>
          <w:szCs w:val="24"/>
          <w:u w:val="single"/>
          <w:lang w:bidi="ar-IQ"/>
        </w:rPr>
      </w:pPr>
      <w:r w:rsidRPr="00F87EEC">
        <w:rPr>
          <w:rFonts w:ascii="Times New Roman" w:hAnsi="Times New Roman" w:cs="Times New Roman"/>
          <w:color w:val="000000" w:themeColor="text1"/>
          <w:sz w:val="24"/>
          <w:szCs w:val="24"/>
          <w:u w:val="single"/>
        </w:rPr>
        <w:t xml:space="preserve">Accepted </w:t>
      </w:r>
      <w:r w:rsidR="007711AA">
        <w:rPr>
          <w:rFonts w:ascii="Times New Roman" w:hAnsi="Times New Roman" w:cs="Times New Roman"/>
          <w:color w:val="000000" w:themeColor="text1"/>
          <w:sz w:val="24"/>
          <w:szCs w:val="24"/>
          <w:u w:val="single"/>
        </w:rPr>
        <w:t>1</w:t>
      </w:r>
      <w:r w:rsidR="003B6F7E">
        <w:rPr>
          <w:rFonts w:ascii="Times New Roman" w:hAnsi="Times New Roman" w:cs="Times New Roman"/>
          <w:color w:val="000000" w:themeColor="text1"/>
          <w:sz w:val="24"/>
          <w:szCs w:val="24"/>
          <w:u w:val="single"/>
        </w:rPr>
        <w:t xml:space="preserve"> </w:t>
      </w:r>
      <w:r w:rsidR="007711AA">
        <w:rPr>
          <w:rFonts w:ascii="Times New Roman" w:hAnsi="Times New Roman" w:cs="Times New Roman"/>
          <w:color w:val="000000" w:themeColor="text1"/>
          <w:sz w:val="24"/>
          <w:szCs w:val="24"/>
          <w:u w:val="single"/>
        </w:rPr>
        <w:t>February</w:t>
      </w:r>
      <w:r w:rsidRPr="00F87EEC">
        <w:rPr>
          <w:rFonts w:ascii="Times New Roman" w:hAnsi="Times New Roman" w:cs="Times New Roman"/>
          <w:color w:val="000000" w:themeColor="text1"/>
          <w:sz w:val="24"/>
          <w:szCs w:val="24"/>
          <w:u w:val="single"/>
        </w:rPr>
        <w:t>, 201</w:t>
      </w:r>
      <w:r w:rsidR="007711AA">
        <w:rPr>
          <w:rFonts w:ascii="Times New Roman" w:hAnsi="Times New Roman" w:cs="Times New Roman"/>
          <w:color w:val="000000" w:themeColor="text1"/>
          <w:sz w:val="24"/>
          <w:szCs w:val="24"/>
          <w:u w:val="single"/>
        </w:rPr>
        <w:t>6</w:t>
      </w:r>
    </w:p>
    <w:p w:rsidR="00FF1C02" w:rsidRPr="009967AA" w:rsidRDefault="009967AA" w:rsidP="009967AA">
      <w:pPr>
        <w:bidi w:val="0"/>
        <w:spacing w:after="0" w:line="240" w:lineRule="auto"/>
        <w:jc w:val="both"/>
        <w:rPr>
          <w:rFonts w:asciiTheme="majorBidi" w:hAnsiTheme="majorBidi" w:cstheme="majorBidi"/>
          <w:sz w:val="24"/>
          <w:szCs w:val="24"/>
          <w:u w:val="single"/>
          <w:lang w:bidi="ar-IQ"/>
        </w:rPr>
      </w:pPr>
      <w:r w:rsidRPr="009967AA">
        <w:rPr>
          <w:rFonts w:asciiTheme="majorBidi" w:hAnsiTheme="majorBidi" w:cstheme="majorBidi"/>
          <w:b/>
          <w:bCs/>
          <w:sz w:val="24"/>
          <w:szCs w:val="24"/>
          <w:u w:val="single"/>
          <w:lang w:bidi="ar-IQ"/>
        </w:rPr>
        <w:t>Abstract</w:t>
      </w:r>
    </w:p>
    <w:p w:rsidR="00077C16" w:rsidRDefault="003B6F7E" w:rsidP="009967AA">
      <w:pPr>
        <w:bidi w:val="0"/>
        <w:spacing w:after="0" w:line="240" w:lineRule="auto"/>
        <w:jc w:val="both"/>
        <w:rPr>
          <w:rFonts w:asciiTheme="majorBidi" w:hAnsiTheme="majorBidi" w:cstheme="majorBidi"/>
          <w:b/>
          <w:bCs/>
          <w:sz w:val="20"/>
          <w:szCs w:val="20"/>
          <w:lang w:bidi="ar-IQ"/>
        </w:rPr>
      </w:pPr>
      <w:r>
        <w:rPr>
          <w:rFonts w:asciiTheme="majorBidi" w:hAnsiTheme="majorBidi" w:cstheme="majorBidi"/>
          <w:sz w:val="20"/>
          <w:szCs w:val="20"/>
          <w:lang w:bidi="ar-IQ"/>
        </w:rPr>
        <w:t xml:space="preserve">  </w:t>
      </w:r>
      <w:r w:rsidR="00291CBA" w:rsidRPr="00AD6231">
        <w:rPr>
          <w:rFonts w:asciiTheme="majorBidi" w:hAnsiTheme="majorBidi" w:cstheme="majorBidi"/>
          <w:sz w:val="20"/>
          <w:szCs w:val="20"/>
          <w:lang w:bidi="ar-IQ"/>
        </w:rPr>
        <w:t>Chronic myeloid leukemia( CML) is a myeloproliferative disorder affecting hemopoi</w:t>
      </w:r>
      <w:r w:rsidR="00F30B50" w:rsidRPr="00AD6231">
        <w:rPr>
          <w:rFonts w:asciiTheme="majorBidi" w:hAnsiTheme="majorBidi" w:cstheme="majorBidi"/>
          <w:sz w:val="20"/>
          <w:szCs w:val="20"/>
          <w:lang w:bidi="ar-IQ"/>
        </w:rPr>
        <w:t>e</w:t>
      </w:r>
      <w:r w:rsidR="00291CBA" w:rsidRPr="00AD6231">
        <w:rPr>
          <w:rFonts w:asciiTheme="majorBidi" w:hAnsiTheme="majorBidi" w:cstheme="majorBidi"/>
          <w:sz w:val="20"/>
          <w:szCs w:val="20"/>
          <w:lang w:bidi="ar-IQ"/>
        </w:rPr>
        <w:t>tic stem cells and affect predominantly granulocyte pr</w:t>
      </w:r>
      <w:r w:rsidR="00BE65DF" w:rsidRPr="00AD6231">
        <w:rPr>
          <w:rFonts w:asciiTheme="majorBidi" w:hAnsiTheme="majorBidi" w:cstheme="majorBidi"/>
          <w:sz w:val="20"/>
          <w:szCs w:val="20"/>
          <w:lang w:bidi="ar-IQ"/>
        </w:rPr>
        <w:t>ogenitor line</w:t>
      </w:r>
      <w:r w:rsidR="00291CBA" w:rsidRPr="00AD6231">
        <w:rPr>
          <w:rFonts w:asciiTheme="majorBidi" w:hAnsiTheme="majorBidi" w:cstheme="majorBidi"/>
          <w:sz w:val="20"/>
          <w:szCs w:val="20"/>
          <w:lang w:bidi="ar-IQ"/>
        </w:rPr>
        <w:t>. Imatinibmesylate is the first molecular target</w:t>
      </w:r>
      <w:r w:rsidR="00E83C22" w:rsidRPr="00AD6231">
        <w:rPr>
          <w:rFonts w:asciiTheme="majorBidi" w:hAnsiTheme="majorBidi" w:cstheme="majorBidi"/>
          <w:sz w:val="20"/>
          <w:szCs w:val="20"/>
          <w:lang w:bidi="ar-IQ"/>
        </w:rPr>
        <w:t xml:space="preserve">ed </w:t>
      </w:r>
      <w:r w:rsidR="00291CBA" w:rsidRPr="00AD6231">
        <w:rPr>
          <w:rFonts w:asciiTheme="majorBidi" w:hAnsiTheme="majorBidi" w:cstheme="majorBidi"/>
          <w:sz w:val="20"/>
          <w:szCs w:val="20"/>
          <w:lang w:bidi="ar-IQ"/>
        </w:rPr>
        <w:t xml:space="preserve"> therapy  </w:t>
      </w:r>
      <w:r w:rsidR="00E83C22" w:rsidRPr="00AD6231">
        <w:rPr>
          <w:rFonts w:asciiTheme="majorBidi" w:hAnsiTheme="majorBidi" w:cstheme="majorBidi"/>
          <w:sz w:val="20"/>
          <w:szCs w:val="20"/>
          <w:lang w:bidi="ar-IQ"/>
        </w:rPr>
        <w:t>for the treatment of CML,  the next</w:t>
      </w:r>
      <w:r w:rsidR="00291CBA" w:rsidRPr="00AD6231">
        <w:rPr>
          <w:rFonts w:asciiTheme="majorBidi" w:hAnsiTheme="majorBidi" w:cstheme="majorBidi"/>
          <w:sz w:val="20"/>
          <w:szCs w:val="20"/>
          <w:lang w:bidi="ar-IQ"/>
        </w:rPr>
        <w:t xml:space="preserve"> one  is the Nilotinib which is  also a selective inhibitor of tyrosine kinase.</w:t>
      </w:r>
      <w:r w:rsidR="0016669E" w:rsidRPr="00AD6231">
        <w:rPr>
          <w:rFonts w:asciiTheme="majorBidi" w:hAnsiTheme="majorBidi" w:cstheme="majorBidi"/>
          <w:sz w:val="20"/>
          <w:szCs w:val="20"/>
          <w:lang w:bidi="ar-IQ"/>
        </w:rPr>
        <w:t xml:space="preserve"> The aim of this study wa</w:t>
      </w:r>
      <w:r w:rsidR="00213B35" w:rsidRPr="00AD6231">
        <w:rPr>
          <w:rFonts w:asciiTheme="majorBidi" w:hAnsiTheme="majorBidi" w:cstheme="majorBidi"/>
          <w:sz w:val="20"/>
          <w:szCs w:val="20"/>
          <w:lang w:bidi="ar-IQ"/>
        </w:rPr>
        <w:t>s to evaluate the hematological, c</w:t>
      </w:r>
      <w:r w:rsidR="0016669E" w:rsidRPr="00AD6231">
        <w:rPr>
          <w:rFonts w:asciiTheme="majorBidi" w:hAnsiTheme="majorBidi" w:cstheme="majorBidi"/>
          <w:sz w:val="20"/>
          <w:szCs w:val="20"/>
          <w:lang w:bidi="ar-IQ"/>
        </w:rPr>
        <w:t>ytogenetic and molecular responses in patient</w:t>
      </w:r>
      <w:r w:rsidR="00632B74" w:rsidRPr="00AD6231">
        <w:rPr>
          <w:rFonts w:asciiTheme="majorBidi" w:hAnsiTheme="majorBidi" w:cstheme="majorBidi"/>
          <w:sz w:val="20"/>
          <w:szCs w:val="20"/>
          <w:lang w:bidi="ar-IQ"/>
        </w:rPr>
        <w:t>s</w:t>
      </w:r>
      <w:r w:rsidR="00E83C22" w:rsidRPr="00AD6231">
        <w:rPr>
          <w:rFonts w:asciiTheme="majorBidi" w:hAnsiTheme="majorBidi" w:cstheme="majorBidi"/>
          <w:sz w:val="20"/>
          <w:szCs w:val="20"/>
          <w:lang w:bidi="ar-IQ"/>
        </w:rPr>
        <w:t xml:space="preserve">with CML receiving Tyrosine Kinase Inhibitors </w:t>
      </w:r>
      <w:r w:rsidR="0016669E" w:rsidRPr="00AD6231">
        <w:rPr>
          <w:rFonts w:asciiTheme="majorBidi" w:hAnsiTheme="majorBidi" w:cstheme="majorBidi"/>
          <w:sz w:val="20"/>
          <w:szCs w:val="20"/>
          <w:lang w:bidi="ar-IQ"/>
        </w:rPr>
        <w:t>attending hema</w:t>
      </w:r>
      <w:r w:rsidR="00213B35" w:rsidRPr="00AD6231">
        <w:rPr>
          <w:rFonts w:asciiTheme="majorBidi" w:hAnsiTheme="majorBidi" w:cstheme="majorBidi"/>
          <w:sz w:val="20"/>
          <w:szCs w:val="20"/>
          <w:lang w:bidi="ar-IQ"/>
        </w:rPr>
        <w:t>tological</w:t>
      </w:r>
      <w:r w:rsidR="0014379D">
        <w:rPr>
          <w:rFonts w:asciiTheme="majorBidi" w:hAnsiTheme="majorBidi" w:cstheme="majorBidi"/>
          <w:sz w:val="20"/>
          <w:szCs w:val="20"/>
          <w:lang w:bidi="ar-IQ"/>
        </w:rPr>
        <w:t xml:space="preserve"> unit of M</w:t>
      </w:r>
      <w:r w:rsidR="00E83C22" w:rsidRPr="00AD6231">
        <w:rPr>
          <w:rFonts w:asciiTheme="majorBidi" w:hAnsiTheme="majorBidi" w:cstheme="majorBidi"/>
          <w:sz w:val="20"/>
          <w:szCs w:val="20"/>
          <w:lang w:bidi="ar-IQ"/>
        </w:rPr>
        <w:t>erjan hospital and to compare between Imatinib and Nilotinib</w:t>
      </w:r>
      <w:r w:rsidR="00F30B50" w:rsidRPr="00AD6231">
        <w:rPr>
          <w:rFonts w:asciiTheme="majorBidi" w:hAnsiTheme="majorBidi" w:cstheme="majorBidi"/>
          <w:sz w:val="20"/>
          <w:szCs w:val="20"/>
          <w:lang w:bidi="ar-IQ"/>
        </w:rPr>
        <w:t xml:space="preserve"> drug</w:t>
      </w:r>
      <w:r w:rsidR="00D02ED6" w:rsidRPr="00AD6231">
        <w:rPr>
          <w:rFonts w:asciiTheme="majorBidi" w:hAnsiTheme="majorBidi" w:cstheme="majorBidi"/>
          <w:sz w:val="20"/>
          <w:szCs w:val="20"/>
          <w:lang w:bidi="ar-IQ"/>
        </w:rPr>
        <w:t>s regarding their</w:t>
      </w:r>
      <w:r w:rsidR="00E83C22" w:rsidRPr="00AD6231">
        <w:rPr>
          <w:rFonts w:asciiTheme="majorBidi" w:hAnsiTheme="majorBidi" w:cstheme="majorBidi"/>
          <w:sz w:val="20"/>
          <w:szCs w:val="20"/>
          <w:lang w:bidi="ar-IQ"/>
        </w:rPr>
        <w:t xml:space="preserve"> responses and adverse effects</w:t>
      </w:r>
      <w:r w:rsidR="009960EE" w:rsidRPr="00AD6231">
        <w:rPr>
          <w:rFonts w:asciiTheme="majorBidi" w:hAnsiTheme="majorBidi" w:cstheme="majorBidi"/>
          <w:sz w:val="20"/>
          <w:szCs w:val="20"/>
          <w:lang w:bidi="ar-IQ"/>
        </w:rPr>
        <w:t>. Complete hematologic re</w:t>
      </w:r>
      <w:r w:rsidR="00202B6C" w:rsidRPr="00AD6231">
        <w:rPr>
          <w:rFonts w:asciiTheme="majorBidi" w:hAnsiTheme="majorBidi" w:cstheme="majorBidi"/>
          <w:sz w:val="20"/>
          <w:szCs w:val="20"/>
          <w:lang w:bidi="ar-IQ"/>
        </w:rPr>
        <w:t xml:space="preserve">sponse (CHR) were attained in </w:t>
      </w:r>
      <w:r w:rsidR="00BE65DF" w:rsidRPr="00AD6231">
        <w:rPr>
          <w:rFonts w:asciiTheme="majorBidi" w:hAnsiTheme="majorBidi" w:cstheme="majorBidi"/>
          <w:sz w:val="20"/>
          <w:szCs w:val="20"/>
          <w:lang w:bidi="ar-IQ"/>
        </w:rPr>
        <w:t xml:space="preserve"> all patients in this study,c</w:t>
      </w:r>
      <w:r w:rsidR="009960EE" w:rsidRPr="00AD6231">
        <w:rPr>
          <w:rFonts w:asciiTheme="majorBidi" w:hAnsiTheme="majorBidi" w:cstheme="majorBidi"/>
          <w:sz w:val="20"/>
          <w:szCs w:val="20"/>
          <w:lang w:bidi="ar-IQ"/>
        </w:rPr>
        <w:t>ytogenetic response</w:t>
      </w:r>
      <w:r w:rsidR="00E83C22" w:rsidRPr="00AD6231">
        <w:rPr>
          <w:rFonts w:asciiTheme="majorBidi" w:hAnsiTheme="majorBidi" w:cstheme="majorBidi"/>
          <w:sz w:val="20"/>
          <w:szCs w:val="20"/>
          <w:lang w:bidi="ar-IQ"/>
        </w:rPr>
        <w:t xml:space="preserve"> to Imatinib</w:t>
      </w:r>
      <w:r w:rsidR="00BE65DF" w:rsidRPr="00AD6231">
        <w:rPr>
          <w:rFonts w:asciiTheme="majorBidi" w:hAnsiTheme="majorBidi" w:cstheme="majorBidi"/>
          <w:sz w:val="20"/>
          <w:szCs w:val="20"/>
          <w:lang w:bidi="ar-IQ"/>
        </w:rPr>
        <w:t xml:space="preserve"> achieved in (86.3%), optimal response in </w:t>
      </w:r>
      <w:r w:rsidR="004C786B" w:rsidRPr="00AD6231">
        <w:rPr>
          <w:rFonts w:asciiTheme="majorBidi" w:hAnsiTheme="majorBidi" w:cstheme="majorBidi"/>
          <w:sz w:val="20"/>
          <w:szCs w:val="20"/>
          <w:lang w:bidi="ar-IQ"/>
        </w:rPr>
        <w:t>(37.8%) and delayed response more</w:t>
      </w:r>
      <w:r w:rsidR="00974273" w:rsidRPr="00AD6231">
        <w:rPr>
          <w:rFonts w:asciiTheme="majorBidi" w:hAnsiTheme="majorBidi" w:cstheme="majorBidi"/>
          <w:sz w:val="20"/>
          <w:szCs w:val="20"/>
          <w:lang w:bidi="ar-IQ"/>
        </w:rPr>
        <w:t xml:space="preserve"> than one year (48.4%) . </w:t>
      </w:r>
      <w:r w:rsidR="009B3DBA" w:rsidRPr="00AD6231">
        <w:rPr>
          <w:rFonts w:asciiTheme="majorBidi" w:hAnsiTheme="majorBidi" w:cstheme="majorBidi"/>
          <w:sz w:val="20"/>
          <w:szCs w:val="20"/>
          <w:lang w:bidi="ar-IQ"/>
        </w:rPr>
        <w:t>78.5</w:t>
      </w:r>
      <w:r w:rsidR="00974273" w:rsidRPr="00AD6231">
        <w:rPr>
          <w:rFonts w:asciiTheme="majorBidi" w:hAnsiTheme="majorBidi" w:cstheme="majorBidi"/>
          <w:sz w:val="20"/>
          <w:szCs w:val="20"/>
          <w:lang w:bidi="ar-IQ"/>
        </w:rPr>
        <w:t>%  of Nilotinib</w:t>
      </w:r>
      <w:r w:rsidR="004C786B" w:rsidRPr="00AD6231">
        <w:rPr>
          <w:rFonts w:asciiTheme="majorBidi" w:hAnsiTheme="majorBidi" w:cstheme="majorBidi"/>
          <w:sz w:val="20"/>
          <w:szCs w:val="20"/>
          <w:lang w:bidi="ar-IQ"/>
        </w:rPr>
        <w:t xml:space="preserve"> switched  patient </w:t>
      </w:r>
      <w:r w:rsidR="009B3DBA" w:rsidRPr="00AD6231">
        <w:rPr>
          <w:rFonts w:asciiTheme="majorBidi" w:hAnsiTheme="majorBidi" w:cstheme="majorBidi"/>
          <w:sz w:val="20"/>
          <w:szCs w:val="20"/>
          <w:lang w:bidi="ar-IQ"/>
        </w:rPr>
        <w:t xml:space="preserve">achieved </w:t>
      </w:r>
      <w:r w:rsidR="003A7D8D" w:rsidRPr="00AD6231">
        <w:rPr>
          <w:rFonts w:asciiTheme="majorBidi" w:hAnsiTheme="majorBidi" w:cstheme="majorBidi"/>
          <w:sz w:val="20"/>
          <w:szCs w:val="20"/>
          <w:lang w:bidi="ar-IQ"/>
        </w:rPr>
        <w:t xml:space="preserve">complete </w:t>
      </w:r>
      <w:r w:rsidR="00BE65DF" w:rsidRPr="00AD6231">
        <w:rPr>
          <w:rFonts w:asciiTheme="majorBidi" w:hAnsiTheme="majorBidi" w:cstheme="majorBidi"/>
          <w:sz w:val="20"/>
          <w:szCs w:val="20"/>
          <w:lang w:bidi="ar-IQ"/>
        </w:rPr>
        <w:t xml:space="preserve">cytogenetic response,(35.7%) optimal response and (42.8 %) got delayed response, </w:t>
      </w:r>
      <w:r w:rsidR="009B3DBA" w:rsidRPr="00AD6231">
        <w:rPr>
          <w:rFonts w:asciiTheme="majorBidi" w:hAnsiTheme="majorBidi" w:cstheme="majorBidi"/>
          <w:sz w:val="20"/>
          <w:szCs w:val="20"/>
          <w:lang w:bidi="ar-IQ"/>
        </w:rPr>
        <w:t xml:space="preserve"> (21.4</w:t>
      </w:r>
      <w:r w:rsidR="004C786B" w:rsidRPr="00AD6231">
        <w:rPr>
          <w:rFonts w:asciiTheme="majorBidi" w:hAnsiTheme="majorBidi" w:cstheme="majorBidi"/>
          <w:sz w:val="20"/>
          <w:szCs w:val="20"/>
          <w:lang w:bidi="ar-IQ"/>
        </w:rPr>
        <w:t>%)</w:t>
      </w:r>
      <w:r w:rsidR="00974273" w:rsidRPr="00AD6231">
        <w:rPr>
          <w:rFonts w:asciiTheme="majorBidi" w:hAnsiTheme="majorBidi" w:cstheme="majorBidi"/>
          <w:sz w:val="20"/>
          <w:szCs w:val="20"/>
          <w:lang w:bidi="ar-IQ"/>
        </w:rPr>
        <w:t xml:space="preserve"> of patients</w:t>
      </w:r>
      <w:r w:rsidR="004C786B" w:rsidRPr="00AD6231">
        <w:rPr>
          <w:rFonts w:asciiTheme="majorBidi" w:hAnsiTheme="majorBidi" w:cstheme="majorBidi"/>
          <w:sz w:val="20"/>
          <w:szCs w:val="20"/>
          <w:lang w:bidi="ar-IQ"/>
        </w:rPr>
        <w:t xml:space="preserve"> showed failure of cytogenetic response. Molecular response </w:t>
      </w:r>
      <w:r w:rsidR="00D766FA" w:rsidRPr="00AD6231">
        <w:rPr>
          <w:rFonts w:asciiTheme="majorBidi" w:hAnsiTheme="majorBidi" w:cstheme="majorBidi"/>
          <w:sz w:val="20"/>
          <w:szCs w:val="20"/>
          <w:lang w:bidi="ar-IQ"/>
        </w:rPr>
        <w:t>ac</w:t>
      </w:r>
      <w:r w:rsidR="00BE65DF" w:rsidRPr="00AD6231">
        <w:rPr>
          <w:rFonts w:asciiTheme="majorBidi" w:hAnsiTheme="majorBidi" w:cstheme="majorBidi"/>
          <w:sz w:val="20"/>
          <w:szCs w:val="20"/>
          <w:lang w:bidi="ar-IQ"/>
        </w:rPr>
        <w:t>hieved in (72.7%)  and</w:t>
      </w:r>
      <w:r w:rsidR="00505B0C" w:rsidRPr="00AD6231">
        <w:rPr>
          <w:rFonts w:asciiTheme="majorBidi" w:hAnsiTheme="majorBidi" w:cstheme="majorBidi"/>
          <w:sz w:val="20"/>
          <w:szCs w:val="20"/>
          <w:lang w:bidi="ar-IQ"/>
        </w:rPr>
        <w:t xml:space="preserve"> (53.5</w:t>
      </w:r>
      <w:r w:rsidR="00293D28" w:rsidRPr="00AD6231">
        <w:rPr>
          <w:rFonts w:asciiTheme="majorBidi" w:hAnsiTheme="majorBidi" w:cstheme="majorBidi"/>
          <w:sz w:val="20"/>
          <w:szCs w:val="20"/>
          <w:lang w:bidi="ar-IQ"/>
        </w:rPr>
        <w:t>%) to Imatinib and Nilotinib</w:t>
      </w:r>
      <w:r w:rsidR="00632B74" w:rsidRPr="00AD6231">
        <w:rPr>
          <w:rFonts w:asciiTheme="majorBidi" w:hAnsiTheme="majorBidi" w:cstheme="majorBidi"/>
          <w:sz w:val="20"/>
          <w:szCs w:val="20"/>
          <w:lang w:bidi="ar-IQ"/>
        </w:rPr>
        <w:t xml:space="preserve"> switched patients</w:t>
      </w:r>
      <w:r w:rsidR="00BE65DF" w:rsidRPr="00AD6231">
        <w:rPr>
          <w:rFonts w:asciiTheme="majorBidi" w:hAnsiTheme="majorBidi" w:cstheme="majorBidi"/>
          <w:sz w:val="20"/>
          <w:szCs w:val="20"/>
          <w:lang w:bidi="ar-IQ"/>
        </w:rPr>
        <w:t xml:space="preserve"> respectively, others</w:t>
      </w:r>
      <w:r w:rsidR="00505B0C" w:rsidRPr="00AD6231">
        <w:rPr>
          <w:rFonts w:asciiTheme="majorBidi" w:hAnsiTheme="majorBidi" w:cstheme="majorBidi"/>
          <w:sz w:val="20"/>
          <w:szCs w:val="20"/>
          <w:lang w:bidi="ar-IQ"/>
        </w:rPr>
        <w:t xml:space="preserve"> (46.5</w:t>
      </w:r>
      <w:r w:rsidR="00293D28" w:rsidRPr="00AD6231">
        <w:rPr>
          <w:rFonts w:asciiTheme="majorBidi" w:hAnsiTheme="majorBidi" w:cstheme="majorBidi"/>
          <w:sz w:val="20"/>
          <w:szCs w:val="20"/>
          <w:lang w:bidi="ar-IQ"/>
        </w:rPr>
        <w:t>%) of Nilotinib</w:t>
      </w:r>
      <w:r w:rsidR="00D766FA" w:rsidRPr="00AD6231">
        <w:rPr>
          <w:rFonts w:asciiTheme="majorBidi" w:hAnsiTheme="majorBidi" w:cstheme="majorBidi"/>
          <w:sz w:val="20"/>
          <w:szCs w:val="20"/>
          <w:lang w:bidi="ar-IQ"/>
        </w:rPr>
        <w:t>switched patients showed molecular failure.</w:t>
      </w:r>
      <w:r w:rsidR="00293D28" w:rsidRPr="00AD6231">
        <w:rPr>
          <w:rFonts w:asciiTheme="majorBidi" w:hAnsiTheme="majorBidi" w:cstheme="majorBidi"/>
          <w:sz w:val="20"/>
          <w:szCs w:val="20"/>
          <w:lang w:bidi="ar-IQ"/>
        </w:rPr>
        <w:t xml:space="preserve">The vast majority of adverse effects </w:t>
      </w:r>
      <w:r w:rsidR="00C85FA4" w:rsidRPr="00AD6231">
        <w:rPr>
          <w:rFonts w:asciiTheme="majorBidi" w:hAnsiTheme="majorBidi" w:cstheme="majorBidi"/>
          <w:sz w:val="20"/>
          <w:szCs w:val="20"/>
          <w:lang w:bidi="ar-IQ"/>
        </w:rPr>
        <w:t xml:space="preserve"> were minor for both drugs, liver function te</w:t>
      </w:r>
      <w:r w:rsidR="009B3DBA" w:rsidRPr="00AD6231">
        <w:rPr>
          <w:rFonts w:asciiTheme="majorBidi" w:hAnsiTheme="majorBidi" w:cstheme="majorBidi"/>
          <w:sz w:val="20"/>
          <w:szCs w:val="20"/>
          <w:lang w:bidi="ar-IQ"/>
        </w:rPr>
        <w:t xml:space="preserve">sts and amylase enzyme showed </w:t>
      </w:r>
      <w:r w:rsidR="00C85FA4" w:rsidRPr="00AD6231">
        <w:rPr>
          <w:rFonts w:asciiTheme="majorBidi" w:hAnsiTheme="majorBidi" w:cstheme="majorBidi"/>
          <w:sz w:val="20"/>
          <w:szCs w:val="20"/>
          <w:lang w:bidi="ar-IQ"/>
        </w:rPr>
        <w:t>minor elevation in a minority of patients.</w:t>
      </w:r>
      <w:r w:rsidR="00293D28" w:rsidRPr="00AD6231">
        <w:rPr>
          <w:rFonts w:asciiTheme="majorBidi" w:hAnsiTheme="majorBidi" w:cstheme="majorBidi"/>
          <w:sz w:val="20"/>
          <w:szCs w:val="20"/>
          <w:lang w:bidi="ar-IQ"/>
        </w:rPr>
        <w:t xml:space="preserve"> F</w:t>
      </w:r>
      <w:r w:rsidR="00632B74" w:rsidRPr="00AD6231">
        <w:rPr>
          <w:rFonts w:asciiTheme="majorBidi" w:hAnsiTheme="majorBidi" w:cstheme="majorBidi"/>
          <w:sz w:val="20"/>
          <w:szCs w:val="20"/>
          <w:lang w:bidi="ar-IQ"/>
        </w:rPr>
        <w:t>requent cytogenetic and molecular monitoring are necessary to define patients with optimal responses and to switch those with suboptimal one to another drug so to achieve optimal responses.</w:t>
      </w:r>
    </w:p>
    <w:p w:rsidR="00AD6231" w:rsidRPr="00AD6231" w:rsidRDefault="00AD6231" w:rsidP="00AD6231">
      <w:pPr>
        <w:bidi w:val="0"/>
        <w:spacing w:after="0" w:line="240" w:lineRule="auto"/>
        <w:jc w:val="both"/>
        <w:rPr>
          <w:rFonts w:asciiTheme="majorBidi" w:hAnsiTheme="majorBidi" w:cstheme="majorBidi"/>
          <w:b/>
          <w:bCs/>
          <w:sz w:val="20"/>
          <w:szCs w:val="20"/>
          <w:lang w:bidi="ar-IQ"/>
        </w:rPr>
      </w:pPr>
    </w:p>
    <w:p w:rsidR="00AD6231" w:rsidRDefault="00077C16" w:rsidP="009967AA">
      <w:pPr>
        <w:bidi w:val="0"/>
        <w:spacing w:after="0" w:line="240" w:lineRule="auto"/>
        <w:jc w:val="both"/>
        <w:rPr>
          <w:rFonts w:asciiTheme="majorBidi" w:hAnsiTheme="majorBidi" w:cstheme="majorBidi"/>
          <w:sz w:val="24"/>
          <w:szCs w:val="24"/>
          <w:lang w:bidi="ar-IQ"/>
        </w:rPr>
      </w:pPr>
      <w:r w:rsidRPr="00AD6231">
        <w:rPr>
          <w:rFonts w:asciiTheme="majorBidi" w:hAnsiTheme="majorBidi" w:cstheme="majorBidi"/>
          <w:b/>
          <w:bCs/>
          <w:sz w:val="24"/>
          <w:szCs w:val="24"/>
          <w:u w:val="single"/>
          <w:lang w:bidi="ar-IQ"/>
        </w:rPr>
        <w:t>Key</w:t>
      </w:r>
      <w:r w:rsidR="003B6F7E">
        <w:rPr>
          <w:rFonts w:asciiTheme="majorBidi" w:hAnsiTheme="majorBidi" w:cstheme="majorBidi"/>
          <w:b/>
          <w:bCs/>
          <w:sz w:val="24"/>
          <w:szCs w:val="24"/>
          <w:u w:val="single"/>
          <w:lang w:bidi="ar-IQ"/>
        </w:rPr>
        <w:t xml:space="preserve"> </w:t>
      </w:r>
      <w:r w:rsidRPr="00AD6231">
        <w:rPr>
          <w:rFonts w:asciiTheme="majorBidi" w:hAnsiTheme="majorBidi" w:cstheme="majorBidi"/>
          <w:b/>
          <w:bCs/>
          <w:sz w:val="24"/>
          <w:szCs w:val="24"/>
          <w:u w:val="single"/>
          <w:lang w:bidi="ar-IQ"/>
        </w:rPr>
        <w:t>words:</w:t>
      </w:r>
      <w:r w:rsidRPr="009967AA">
        <w:rPr>
          <w:rFonts w:asciiTheme="majorBidi" w:hAnsiTheme="majorBidi" w:cstheme="majorBidi"/>
          <w:sz w:val="24"/>
          <w:szCs w:val="24"/>
          <w:lang w:bidi="ar-IQ"/>
        </w:rPr>
        <w:t xml:space="preserve"> CML, hematological response, cytogenetic response, molecular response, Gleevec, Tasigna. </w:t>
      </w:r>
    </w:p>
    <w:p w:rsidR="00077C16" w:rsidRPr="009967AA" w:rsidRDefault="00077C16" w:rsidP="00AD6231">
      <w:pPr>
        <w:bidi w:val="0"/>
        <w:spacing w:after="0" w:line="240" w:lineRule="auto"/>
        <w:jc w:val="both"/>
        <w:rPr>
          <w:rFonts w:asciiTheme="majorBidi" w:hAnsiTheme="majorBidi" w:cstheme="majorBidi"/>
          <w:sz w:val="24"/>
          <w:szCs w:val="24"/>
          <w:lang w:bidi="ar-IQ"/>
        </w:rPr>
      </w:pPr>
    </w:p>
    <w:p w:rsidR="0047700B" w:rsidRPr="007711AA" w:rsidRDefault="0047700B" w:rsidP="00AD6231">
      <w:pPr>
        <w:spacing w:after="0" w:line="240" w:lineRule="auto"/>
        <w:jc w:val="center"/>
        <w:rPr>
          <w:rFonts w:ascii="Simplified Arabic" w:hAnsi="Simplified Arabic" w:cs="Simplified Arabic"/>
          <w:b/>
          <w:bCs/>
          <w:sz w:val="28"/>
          <w:szCs w:val="28"/>
          <w:rtl/>
          <w:lang w:bidi="ar-IQ"/>
        </w:rPr>
      </w:pPr>
      <w:r w:rsidRPr="007711AA">
        <w:rPr>
          <w:rFonts w:ascii="Simplified Arabic" w:hAnsi="Simplified Arabic" w:cs="Simplified Arabic"/>
          <w:b/>
          <w:bCs/>
          <w:sz w:val="28"/>
          <w:szCs w:val="28"/>
          <w:rtl/>
          <w:lang w:bidi="ar-IQ"/>
        </w:rPr>
        <w:t>تقييم الاستجابة والاعراض الجانبية بين مرضى سرطان كريات الدم البيضاء المزمن لعقاري الايماتنيبوالنيلوتنيب  في مستشفى مرجان التعليمي</w:t>
      </w:r>
      <w:r w:rsidRPr="007711AA">
        <w:rPr>
          <w:rFonts w:ascii="Simplified Arabic" w:hAnsi="Simplified Arabic" w:cs="Simplified Arabic"/>
          <w:b/>
          <w:bCs/>
          <w:sz w:val="28"/>
          <w:szCs w:val="28"/>
          <w:lang w:bidi="ar-IQ"/>
        </w:rPr>
        <w:t>/</w:t>
      </w:r>
      <w:r w:rsidRPr="007711AA">
        <w:rPr>
          <w:rFonts w:ascii="Simplified Arabic" w:hAnsi="Simplified Arabic" w:cs="Simplified Arabic"/>
          <w:b/>
          <w:bCs/>
          <w:sz w:val="28"/>
          <w:szCs w:val="28"/>
          <w:rtl/>
          <w:lang w:bidi="ar-IQ"/>
        </w:rPr>
        <w:t xml:space="preserve"> وحدة امراض الدم </w:t>
      </w:r>
    </w:p>
    <w:p w:rsidR="00344CFF" w:rsidRPr="0014379D" w:rsidRDefault="00344CFF" w:rsidP="00AD6231">
      <w:pPr>
        <w:spacing w:after="0" w:line="240" w:lineRule="auto"/>
        <w:jc w:val="center"/>
        <w:rPr>
          <w:rFonts w:ascii="Simplified Arabic" w:hAnsi="Simplified Arabic" w:cs="Simplified Arabic"/>
          <w:b/>
          <w:bCs/>
          <w:sz w:val="2"/>
          <w:szCs w:val="2"/>
          <w:rtl/>
          <w:lang w:bidi="ar-IQ"/>
        </w:rPr>
      </w:pPr>
    </w:p>
    <w:p w:rsidR="00AD6231" w:rsidRPr="00AD6231" w:rsidRDefault="00AD6231" w:rsidP="00AD6231">
      <w:pPr>
        <w:spacing w:after="0" w:line="240" w:lineRule="auto"/>
        <w:rPr>
          <w:rFonts w:ascii="Simplified Arabic" w:hAnsi="Simplified Arabic" w:cs="Simplified Arabic"/>
          <w:b/>
          <w:bCs/>
          <w:sz w:val="24"/>
          <w:szCs w:val="24"/>
          <w:u w:val="single"/>
          <w:rtl/>
          <w:lang w:bidi="ar-IQ"/>
        </w:rPr>
      </w:pPr>
      <w:r w:rsidRPr="00AD6231">
        <w:rPr>
          <w:rFonts w:ascii="Simplified Arabic" w:hAnsi="Simplified Arabic" w:cs="Simplified Arabic"/>
          <w:b/>
          <w:bCs/>
          <w:sz w:val="24"/>
          <w:szCs w:val="24"/>
          <w:u w:val="single"/>
          <w:rtl/>
          <w:lang w:bidi="ar-IQ"/>
        </w:rPr>
        <w:t xml:space="preserve">الخلاصة </w:t>
      </w:r>
    </w:p>
    <w:p w:rsidR="00021903" w:rsidRPr="00AD6231" w:rsidRDefault="00021903" w:rsidP="00AD6231">
      <w:pPr>
        <w:spacing w:after="0" w:line="240" w:lineRule="auto"/>
        <w:jc w:val="both"/>
        <w:rPr>
          <w:rFonts w:ascii="Simplified Arabic" w:hAnsi="Simplified Arabic" w:cs="Simplified Arabic"/>
          <w:sz w:val="20"/>
          <w:szCs w:val="20"/>
          <w:rtl/>
          <w:lang w:bidi="ar-IQ"/>
        </w:rPr>
      </w:pPr>
      <w:r w:rsidRPr="00AD6231">
        <w:rPr>
          <w:rFonts w:ascii="Simplified Arabic" w:hAnsi="Simplified Arabic" w:cs="Simplified Arabic"/>
          <w:sz w:val="20"/>
          <w:szCs w:val="20"/>
          <w:rtl/>
          <w:lang w:bidi="ar-IQ"/>
        </w:rPr>
        <w:t xml:space="preserve"> </w:t>
      </w:r>
      <w:r w:rsidR="0076367F">
        <w:rPr>
          <w:rFonts w:ascii="Simplified Arabic" w:hAnsi="Simplified Arabic" w:cs="Simplified Arabic" w:hint="cs"/>
          <w:sz w:val="20"/>
          <w:szCs w:val="20"/>
          <w:rtl/>
          <w:lang w:bidi="ar-IQ"/>
        </w:rPr>
        <w:t xml:space="preserve">  </w:t>
      </w:r>
      <w:r w:rsidRPr="00AD6231">
        <w:rPr>
          <w:rFonts w:ascii="Simplified Arabic" w:hAnsi="Simplified Arabic" w:cs="Simplified Arabic"/>
          <w:sz w:val="20"/>
          <w:szCs w:val="20"/>
          <w:rtl/>
          <w:lang w:bidi="ar-IQ"/>
        </w:rPr>
        <w:t>سرطان كريات الدم البيضاء المزمن هو مرض ناتج من زيادة نشاط</w:t>
      </w:r>
      <w:r w:rsidR="00F43E5A" w:rsidRPr="00AD6231">
        <w:rPr>
          <w:rFonts w:ascii="Simplified Arabic" w:hAnsi="Simplified Arabic" w:cs="Simplified Arabic"/>
          <w:sz w:val="20"/>
          <w:szCs w:val="20"/>
          <w:rtl/>
          <w:lang w:bidi="ar-IQ"/>
        </w:rPr>
        <w:t xml:space="preserve"> الخلايا المكونةل</w:t>
      </w:r>
      <w:r w:rsidRPr="00AD6231">
        <w:rPr>
          <w:rFonts w:ascii="Simplified Arabic" w:hAnsi="Simplified Arabic" w:cs="Simplified Arabic"/>
          <w:sz w:val="20"/>
          <w:szCs w:val="20"/>
          <w:rtl/>
          <w:lang w:bidi="ar-IQ"/>
        </w:rPr>
        <w:t>كريات الدم البيضاء في نخاع العظم نتيجة حدوث طفرة جينية</w:t>
      </w:r>
      <w:r w:rsidRPr="00AD6231">
        <w:rPr>
          <w:rFonts w:ascii="Simplified Arabic" w:hAnsi="Simplified Arabic" w:cs="Simplified Arabic"/>
          <w:sz w:val="20"/>
          <w:szCs w:val="20"/>
          <w:lang w:bidi="ar-IQ"/>
        </w:rPr>
        <w:t>.</w:t>
      </w:r>
      <w:r w:rsidRPr="00AD6231">
        <w:rPr>
          <w:rFonts w:ascii="Simplified Arabic" w:hAnsi="Simplified Arabic" w:cs="Simplified Arabic"/>
          <w:sz w:val="20"/>
          <w:szCs w:val="20"/>
          <w:rtl/>
          <w:lang w:bidi="ar-IQ"/>
        </w:rPr>
        <w:t>هناك عقا</w:t>
      </w:r>
      <w:r w:rsidR="00F43E5A" w:rsidRPr="00AD6231">
        <w:rPr>
          <w:rFonts w:ascii="Simplified Arabic" w:hAnsi="Simplified Arabic" w:cs="Simplified Arabic"/>
          <w:sz w:val="20"/>
          <w:szCs w:val="20"/>
          <w:rtl/>
          <w:lang w:bidi="ar-IQ"/>
        </w:rPr>
        <w:t>قي</w:t>
      </w:r>
      <w:r w:rsidRPr="00AD6231">
        <w:rPr>
          <w:rFonts w:ascii="Simplified Arabic" w:hAnsi="Simplified Arabic" w:cs="Simplified Arabic"/>
          <w:sz w:val="20"/>
          <w:szCs w:val="20"/>
          <w:rtl/>
          <w:lang w:bidi="ar-IQ"/>
        </w:rPr>
        <w:t>ر تعمل على ايقاف نشاط هذا المرض وتشمل مثلا</w:t>
      </w:r>
      <w:r w:rsidR="00F43E5A" w:rsidRPr="00AD6231">
        <w:rPr>
          <w:rFonts w:ascii="Simplified Arabic" w:hAnsi="Simplified Arabic" w:cs="Simplified Arabic"/>
          <w:sz w:val="20"/>
          <w:szCs w:val="20"/>
          <w:rtl/>
          <w:lang w:bidi="ar-IQ"/>
        </w:rPr>
        <w:t>عقار الايماتنيب</w:t>
      </w:r>
      <w:r w:rsidRPr="00AD6231">
        <w:rPr>
          <w:rFonts w:ascii="Simplified Arabic" w:hAnsi="Simplified Arabic" w:cs="Simplified Arabic"/>
          <w:sz w:val="20"/>
          <w:szCs w:val="20"/>
          <w:rtl/>
          <w:lang w:bidi="ar-IQ"/>
        </w:rPr>
        <w:t xml:space="preserve"> المتوفر قديما ومنها الجديد مثل</w:t>
      </w:r>
      <w:r w:rsidR="00F43E5A" w:rsidRPr="00AD6231">
        <w:rPr>
          <w:rFonts w:ascii="Simplified Arabic" w:hAnsi="Simplified Arabic" w:cs="Simplified Arabic"/>
          <w:sz w:val="20"/>
          <w:szCs w:val="20"/>
          <w:rtl/>
          <w:lang w:bidi="ar-IQ"/>
        </w:rPr>
        <w:t xml:space="preserve"> عقار النيلوتنيب</w:t>
      </w:r>
      <w:r w:rsidRPr="00AD6231">
        <w:rPr>
          <w:rFonts w:ascii="Simplified Arabic" w:hAnsi="Simplified Arabic" w:cs="Simplified Arabic"/>
          <w:sz w:val="20"/>
          <w:szCs w:val="20"/>
          <w:lang w:bidi="ar-IQ"/>
        </w:rPr>
        <w:t>.</w:t>
      </w:r>
    </w:p>
    <w:p w:rsidR="00D92C34" w:rsidRDefault="00021903" w:rsidP="0014379D">
      <w:pPr>
        <w:spacing w:after="0" w:line="240" w:lineRule="auto"/>
        <w:jc w:val="both"/>
        <w:rPr>
          <w:rFonts w:ascii="Simplified Arabic" w:hAnsi="Simplified Arabic" w:cs="Simplified Arabic"/>
          <w:sz w:val="20"/>
          <w:szCs w:val="20"/>
          <w:rtl/>
          <w:lang w:bidi="ar-IQ"/>
        </w:rPr>
      </w:pPr>
      <w:r w:rsidRPr="00AD6231">
        <w:rPr>
          <w:rFonts w:ascii="Simplified Arabic" w:hAnsi="Simplified Arabic" w:cs="Simplified Arabic"/>
          <w:sz w:val="20"/>
          <w:szCs w:val="20"/>
          <w:rtl/>
          <w:lang w:bidi="ar-IQ"/>
        </w:rPr>
        <w:t>الهدف من الدراسة هو مقارنة الاستجابة لهذه الادوية وتشمل استجابة الدم والاستجابة على مستوى الكروموسومات والجينات مع مقارنة الاعراض الجانبية</w:t>
      </w:r>
      <w:r w:rsidR="00BE6D89" w:rsidRPr="00AD6231">
        <w:rPr>
          <w:rFonts w:ascii="Simplified Arabic" w:hAnsi="Simplified Arabic" w:cs="Simplified Arabic"/>
          <w:sz w:val="20"/>
          <w:szCs w:val="20"/>
          <w:rtl/>
          <w:lang w:bidi="ar-IQ"/>
        </w:rPr>
        <w:t xml:space="preserve"> ومدى تاثيرها على </w:t>
      </w:r>
      <w:r w:rsidRPr="00AD6231">
        <w:rPr>
          <w:rFonts w:ascii="Simplified Arabic" w:hAnsi="Simplified Arabic" w:cs="Simplified Arabic"/>
          <w:sz w:val="20"/>
          <w:szCs w:val="20"/>
          <w:rtl/>
          <w:lang w:bidi="ar-IQ"/>
        </w:rPr>
        <w:t xml:space="preserve">وظائف </w:t>
      </w:r>
      <w:r w:rsidR="00901353" w:rsidRPr="00AD6231">
        <w:rPr>
          <w:rFonts w:ascii="Simplified Arabic" w:hAnsi="Simplified Arabic" w:cs="Simplified Arabic"/>
          <w:sz w:val="20"/>
          <w:szCs w:val="20"/>
          <w:rtl/>
          <w:lang w:bidi="ar-IQ"/>
        </w:rPr>
        <w:t>الكبد وانزيم</w:t>
      </w:r>
      <w:r w:rsidR="00BE6D89" w:rsidRPr="00AD6231">
        <w:rPr>
          <w:rFonts w:ascii="Simplified Arabic" w:hAnsi="Simplified Arabic" w:cs="Simplified Arabic"/>
          <w:sz w:val="20"/>
          <w:szCs w:val="20"/>
          <w:rtl/>
          <w:lang w:bidi="ar-IQ"/>
        </w:rPr>
        <w:t>اميليز</w:t>
      </w:r>
      <w:r w:rsidR="00901353" w:rsidRPr="00AD6231">
        <w:rPr>
          <w:rFonts w:ascii="Simplified Arabic" w:hAnsi="Simplified Arabic" w:cs="Simplified Arabic"/>
          <w:sz w:val="20"/>
          <w:szCs w:val="20"/>
          <w:rtl/>
          <w:lang w:bidi="ar-IQ"/>
        </w:rPr>
        <w:t xml:space="preserve"> البنكرياس</w:t>
      </w:r>
      <w:r w:rsidR="00901353" w:rsidRPr="00AD6231">
        <w:rPr>
          <w:rFonts w:ascii="Simplified Arabic" w:hAnsi="Simplified Arabic" w:cs="Simplified Arabic"/>
          <w:sz w:val="20"/>
          <w:szCs w:val="20"/>
          <w:lang w:bidi="ar-IQ"/>
        </w:rPr>
        <w:t>.</w:t>
      </w:r>
      <w:r w:rsidR="00901353" w:rsidRPr="00AD6231">
        <w:rPr>
          <w:rFonts w:ascii="Simplified Arabic" w:hAnsi="Simplified Arabic" w:cs="Simplified Arabic"/>
          <w:sz w:val="20"/>
          <w:szCs w:val="20"/>
          <w:rtl/>
          <w:lang w:bidi="ar-IQ"/>
        </w:rPr>
        <w:t xml:space="preserve"> وجدت هذه الدراسة ان هناك نسبة كبيرة للاستجابة على مستوى الدم للعقارين ونسبة استج</w:t>
      </w:r>
      <w:r w:rsidR="000152C6" w:rsidRPr="00AD6231">
        <w:rPr>
          <w:rFonts w:ascii="Simplified Arabic" w:hAnsi="Simplified Arabic" w:cs="Simplified Arabic"/>
          <w:sz w:val="20"/>
          <w:szCs w:val="20"/>
          <w:rtl/>
          <w:lang w:bidi="ar-IQ"/>
        </w:rPr>
        <w:t>ابة عالية على المستوى الخلوي</w:t>
      </w:r>
      <w:r w:rsidR="00BE6D89" w:rsidRPr="00AD6231">
        <w:rPr>
          <w:rFonts w:ascii="Simplified Arabic" w:hAnsi="Simplified Arabic" w:cs="Simplified Arabic"/>
          <w:sz w:val="20"/>
          <w:szCs w:val="20"/>
          <w:rtl/>
          <w:lang w:bidi="ar-IQ"/>
        </w:rPr>
        <w:t xml:space="preserve"> لعقار الايماتنيب</w:t>
      </w:r>
      <w:r w:rsidR="00901353" w:rsidRPr="00AD6231">
        <w:rPr>
          <w:rFonts w:ascii="Simplified Arabic" w:hAnsi="Simplified Arabic" w:cs="Simplified Arabic"/>
          <w:sz w:val="20"/>
          <w:szCs w:val="20"/>
          <w:rtl/>
          <w:lang w:bidi="ar-IQ"/>
        </w:rPr>
        <w:t xml:space="preserve"> ولكن منهم نسبة عالية كانت استجابة متاخرة مما كان له الاثر بان تكون هناك نسبة عالية من عدم الاستجابة على المستوى الجيني</w:t>
      </w:r>
      <w:r w:rsidR="00901353" w:rsidRPr="00AD6231">
        <w:rPr>
          <w:rFonts w:ascii="Simplified Arabic" w:hAnsi="Simplified Arabic" w:cs="Simplified Arabic"/>
          <w:sz w:val="20"/>
          <w:szCs w:val="20"/>
          <w:lang w:bidi="ar-IQ"/>
        </w:rPr>
        <w:t xml:space="preserve">. </w:t>
      </w:r>
      <w:r w:rsidR="00901353" w:rsidRPr="00AD6231">
        <w:rPr>
          <w:rFonts w:ascii="Simplified Arabic" w:hAnsi="Simplified Arabic" w:cs="Simplified Arabic"/>
          <w:sz w:val="20"/>
          <w:szCs w:val="20"/>
          <w:rtl/>
          <w:lang w:bidi="ar-IQ"/>
        </w:rPr>
        <w:t xml:space="preserve"> ام</w:t>
      </w:r>
      <w:r w:rsidR="00BE6D89" w:rsidRPr="00AD6231">
        <w:rPr>
          <w:rFonts w:ascii="Simplified Arabic" w:hAnsi="Simplified Arabic" w:cs="Simplified Arabic"/>
          <w:sz w:val="20"/>
          <w:szCs w:val="20"/>
          <w:rtl/>
          <w:lang w:bidi="ar-IQ"/>
        </w:rPr>
        <w:t>ا</w:t>
      </w:r>
      <w:r w:rsidR="00901353" w:rsidRPr="00AD6231">
        <w:rPr>
          <w:rFonts w:ascii="Simplified Arabic" w:hAnsi="Simplified Arabic" w:cs="Simplified Arabic"/>
          <w:sz w:val="20"/>
          <w:szCs w:val="20"/>
          <w:rtl/>
          <w:lang w:bidi="ar-IQ"/>
        </w:rPr>
        <w:t xml:space="preserve"> المرضى الذين حولوا الى العقار الثاني</w:t>
      </w:r>
      <w:r w:rsidR="00BE6D89" w:rsidRPr="00AD6231">
        <w:rPr>
          <w:rFonts w:ascii="Simplified Arabic" w:hAnsi="Simplified Arabic" w:cs="Simplified Arabic"/>
          <w:sz w:val="20"/>
          <w:szCs w:val="20"/>
          <w:lang w:bidi="ar-IQ"/>
        </w:rPr>
        <w:t>/</w:t>
      </w:r>
      <w:r w:rsidR="00BE6D89" w:rsidRPr="00AD6231">
        <w:rPr>
          <w:rFonts w:ascii="Simplified Arabic" w:hAnsi="Simplified Arabic" w:cs="Simplified Arabic"/>
          <w:sz w:val="20"/>
          <w:szCs w:val="20"/>
          <w:rtl/>
          <w:lang w:bidi="ar-IQ"/>
        </w:rPr>
        <w:t>النيلوتنيب</w:t>
      </w:r>
      <w:r w:rsidR="00901353" w:rsidRPr="00AD6231">
        <w:rPr>
          <w:rFonts w:ascii="Simplified Arabic" w:hAnsi="Simplified Arabic" w:cs="Simplified Arabic"/>
          <w:sz w:val="20"/>
          <w:szCs w:val="20"/>
          <w:rtl/>
          <w:lang w:bidi="ar-IQ"/>
        </w:rPr>
        <w:t xml:space="preserve"> بسبب عدم استجابتهم للعقار الاول فكانت استجابتهم على </w:t>
      </w:r>
      <w:r w:rsidR="000152C6" w:rsidRPr="00AD6231">
        <w:rPr>
          <w:rFonts w:ascii="Simplified Arabic" w:hAnsi="Simplified Arabic" w:cs="Simplified Arabic"/>
          <w:sz w:val="20"/>
          <w:szCs w:val="20"/>
          <w:rtl/>
          <w:lang w:bidi="ar-IQ"/>
        </w:rPr>
        <w:t>ال</w:t>
      </w:r>
      <w:r w:rsidR="00901353" w:rsidRPr="00AD6231">
        <w:rPr>
          <w:rFonts w:ascii="Simplified Arabic" w:hAnsi="Simplified Arabic" w:cs="Simplified Arabic"/>
          <w:sz w:val="20"/>
          <w:szCs w:val="20"/>
          <w:rtl/>
          <w:lang w:bidi="ar-IQ"/>
        </w:rPr>
        <w:t>مستوى</w:t>
      </w:r>
      <w:r w:rsidR="000152C6" w:rsidRPr="00AD6231">
        <w:rPr>
          <w:rFonts w:ascii="Simplified Arabic" w:hAnsi="Simplified Arabic" w:cs="Simplified Arabic"/>
          <w:sz w:val="20"/>
          <w:szCs w:val="20"/>
          <w:rtl/>
          <w:lang w:bidi="ar-IQ"/>
        </w:rPr>
        <w:t xml:space="preserve"> الخلوي</w:t>
      </w:r>
      <w:r w:rsidR="00901353" w:rsidRPr="00AD6231">
        <w:rPr>
          <w:rFonts w:ascii="Simplified Arabic" w:hAnsi="Simplified Arabic" w:cs="Simplified Arabic"/>
          <w:sz w:val="20"/>
          <w:szCs w:val="20"/>
          <w:rtl/>
          <w:lang w:bidi="ar-IQ"/>
        </w:rPr>
        <w:t xml:space="preserve"> عالية و  اكثر من نصفهم كانت لديهم استجابة على المستوى الجيني</w:t>
      </w:r>
      <w:r w:rsidR="00901353" w:rsidRPr="00AD6231">
        <w:rPr>
          <w:rFonts w:ascii="Simplified Arabic" w:hAnsi="Simplified Arabic" w:cs="Simplified Arabic"/>
          <w:sz w:val="20"/>
          <w:szCs w:val="20"/>
          <w:lang w:bidi="ar-IQ"/>
        </w:rPr>
        <w:t>.</w:t>
      </w:r>
      <w:r w:rsidR="00901353" w:rsidRPr="00AD6231">
        <w:rPr>
          <w:rFonts w:ascii="Simplified Arabic" w:hAnsi="Simplified Arabic" w:cs="Simplified Arabic"/>
          <w:sz w:val="20"/>
          <w:szCs w:val="20"/>
          <w:rtl/>
          <w:lang w:bidi="ar-IQ"/>
        </w:rPr>
        <w:t xml:space="preserve"> الاعراض الجانبية لكلا العقارين بسيطة وكان هناك ارتفاع بسيط في انزيمات الكبد وانزيم</w:t>
      </w:r>
      <w:r w:rsidR="00BE6D89" w:rsidRPr="00AD6231">
        <w:rPr>
          <w:rFonts w:ascii="Simplified Arabic" w:hAnsi="Simplified Arabic" w:cs="Simplified Arabic"/>
          <w:sz w:val="20"/>
          <w:szCs w:val="20"/>
          <w:rtl/>
          <w:lang w:bidi="ar-IQ"/>
        </w:rPr>
        <w:t>اميليز</w:t>
      </w:r>
      <w:r w:rsidR="00901353" w:rsidRPr="00AD6231">
        <w:rPr>
          <w:rFonts w:ascii="Simplified Arabic" w:hAnsi="Simplified Arabic" w:cs="Simplified Arabic"/>
          <w:sz w:val="20"/>
          <w:szCs w:val="20"/>
          <w:rtl/>
          <w:lang w:bidi="ar-IQ"/>
        </w:rPr>
        <w:t xml:space="preserve"> البنكرياس في نسبة قليلة من المرضى دون الحاجة لايقاف العلاج</w:t>
      </w:r>
      <w:r w:rsidR="00545B52" w:rsidRPr="00AD6231">
        <w:rPr>
          <w:rFonts w:ascii="Simplified Arabic" w:hAnsi="Simplified Arabic" w:cs="Simplified Arabic"/>
          <w:sz w:val="20"/>
          <w:szCs w:val="20"/>
          <w:lang w:bidi="ar-IQ"/>
        </w:rPr>
        <w:t>.</w:t>
      </w:r>
      <w:r w:rsidR="00BE6D89" w:rsidRPr="00AD6231">
        <w:rPr>
          <w:rFonts w:ascii="Simplified Arabic" w:hAnsi="Simplified Arabic" w:cs="Simplified Arabic"/>
          <w:sz w:val="20"/>
          <w:szCs w:val="20"/>
          <w:rtl/>
          <w:lang w:bidi="ar-IQ"/>
        </w:rPr>
        <w:t xml:space="preserve"> ينصحب</w:t>
      </w:r>
      <w:r w:rsidR="00545B52" w:rsidRPr="00AD6231">
        <w:rPr>
          <w:rFonts w:ascii="Simplified Arabic" w:hAnsi="Simplified Arabic" w:cs="Simplified Arabic"/>
          <w:sz w:val="20"/>
          <w:szCs w:val="20"/>
          <w:rtl/>
          <w:lang w:bidi="ar-IQ"/>
        </w:rPr>
        <w:t>متابعة المرضى بصو</w:t>
      </w:r>
      <w:r w:rsidR="000152C6" w:rsidRPr="00AD6231">
        <w:rPr>
          <w:rFonts w:ascii="Simplified Arabic" w:hAnsi="Simplified Arabic" w:cs="Simplified Arabic"/>
          <w:sz w:val="20"/>
          <w:szCs w:val="20"/>
          <w:rtl/>
          <w:lang w:bidi="ar-IQ"/>
        </w:rPr>
        <w:t>رة مستمرة على المستوى الخلوي</w:t>
      </w:r>
      <w:r w:rsidR="00545B52" w:rsidRPr="00AD6231">
        <w:rPr>
          <w:rFonts w:ascii="Simplified Arabic" w:hAnsi="Simplified Arabic" w:cs="Simplified Arabic"/>
          <w:sz w:val="20"/>
          <w:szCs w:val="20"/>
          <w:rtl/>
          <w:lang w:bidi="ar-IQ"/>
        </w:rPr>
        <w:t xml:space="preserve"> والمستوى الجيني لمعرفة استجابة المرضى وتحويلهم الى العلاج الثاني في الوقت المناسب</w:t>
      </w:r>
      <w:r w:rsidR="00545B52" w:rsidRPr="00AD6231">
        <w:rPr>
          <w:rFonts w:ascii="Simplified Arabic" w:hAnsi="Simplified Arabic" w:cs="Simplified Arabic"/>
          <w:sz w:val="20"/>
          <w:szCs w:val="20"/>
          <w:lang w:bidi="ar-IQ"/>
        </w:rPr>
        <w:t>.</w:t>
      </w:r>
    </w:p>
    <w:p w:rsidR="006D0966" w:rsidRDefault="006D0966" w:rsidP="0014379D">
      <w:pPr>
        <w:spacing w:after="0" w:line="240" w:lineRule="auto"/>
        <w:jc w:val="both"/>
        <w:rPr>
          <w:rFonts w:ascii="Simplified Arabic" w:hAnsi="Simplified Arabic" w:cs="Simplified Arabic"/>
          <w:sz w:val="20"/>
          <w:szCs w:val="20"/>
          <w:rtl/>
          <w:lang w:bidi="ar-IQ"/>
        </w:rPr>
        <w:sectPr w:rsidR="006D0966" w:rsidSect="003B6F7E">
          <w:headerReference w:type="default" r:id="rId12"/>
          <w:footerReference w:type="default" r:id="rId13"/>
          <w:pgSz w:w="11906" w:h="16838"/>
          <w:pgMar w:top="818" w:right="1376" w:bottom="1440" w:left="1350" w:header="708" w:footer="708" w:gutter="0"/>
          <w:pgNumType w:start="51"/>
          <w:cols w:space="708"/>
          <w:docGrid w:linePitch="360"/>
        </w:sectPr>
      </w:pPr>
    </w:p>
    <w:p w:rsidR="001F4A25" w:rsidRPr="0076367F" w:rsidRDefault="0014379D" w:rsidP="0014379D">
      <w:pPr>
        <w:spacing w:after="0" w:line="240" w:lineRule="auto"/>
        <w:jc w:val="both"/>
        <w:rPr>
          <w:rFonts w:ascii="Simplified Arabic" w:hAnsi="Simplified Arabic" w:cs="Simplified Arabic"/>
          <w:sz w:val="24"/>
          <w:szCs w:val="24"/>
          <w:rtl/>
          <w:lang w:bidi="ar-IQ"/>
        </w:rPr>
      </w:pPr>
      <w:r w:rsidRPr="0076367F">
        <w:rPr>
          <w:rFonts w:ascii="Simplified Arabic" w:hAnsi="Simplified Arabic" w:cs="Simplified Arabic"/>
          <w:b/>
          <w:bCs/>
          <w:sz w:val="24"/>
          <w:szCs w:val="24"/>
          <w:u w:val="single"/>
          <w:rtl/>
          <w:lang w:bidi="ar-IQ"/>
        </w:rPr>
        <w:lastRenderedPageBreak/>
        <w:t>الكلمات المفتاحية</w:t>
      </w:r>
      <w:r w:rsidR="00AD6231" w:rsidRPr="0076367F">
        <w:rPr>
          <w:rFonts w:ascii="Simplified Arabic" w:hAnsi="Simplified Arabic" w:cs="Simplified Arabic"/>
          <w:b/>
          <w:bCs/>
          <w:sz w:val="24"/>
          <w:szCs w:val="24"/>
          <w:u w:val="single"/>
          <w:rtl/>
          <w:lang w:bidi="ar-IQ"/>
        </w:rPr>
        <w:t>:</w:t>
      </w:r>
      <w:r w:rsidR="00D92C34" w:rsidRPr="0076367F">
        <w:rPr>
          <w:rFonts w:ascii="Simplified Arabic" w:hAnsi="Simplified Arabic" w:cs="Simplified Arabic"/>
          <w:sz w:val="24"/>
          <w:szCs w:val="24"/>
          <w:rtl/>
          <w:lang w:bidi="ar-IQ"/>
        </w:rPr>
        <w:t>سرطان كريات الدم البيضاء المزمن</w:t>
      </w:r>
      <w:r w:rsidR="00D92C34" w:rsidRPr="0076367F">
        <w:rPr>
          <w:rFonts w:ascii="Simplified Arabic" w:hAnsi="Simplified Arabic" w:cs="Simplified Arabic"/>
          <w:sz w:val="24"/>
          <w:szCs w:val="24"/>
          <w:lang w:bidi="ar-IQ"/>
        </w:rPr>
        <w:t>,</w:t>
      </w:r>
      <w:r w:rsidR="00D92C34" w:rsidRPr="0076367F">
        <w:rPr>
          <w:rFonts w:ascii="Simplified Arabic" w:hAnsi="Simplified Arabic" w:cs="Simplified Arabic"/>
          <w:sz w:val="24"/>
          <w:szCs w:val="24"/>
          <w:rtl/>
          <w:lang w:bidi="ar-IQ"/>
        </w:rPr>
        <w:t xml:space="preserve"> استجابة الدم لعلاج</w:t>
      </w:r>
      <w:r w:rsidR="00D92C34" w:rsidRPr="0076367F">
        <w:rPr>
          <w:rFonts w:ascii="Simplified Arabic" w:hAnsi="Simplified Arabic" w:cs="Simplified Arabic"/>
          <w:sz w:val="24"/>
          <w:szCs w:val="24"/>
          <w:lang w:bidi="ar-IQ"/>
        </w:rPr>
        <w:t xml:space="preserve">, </w:t>
      </w:r>
      <w:r w:rsidR="00D92C34" w:rsidRPr="0076367F">
        <w:rPr>
          <w:rFonts w:ascii="Simplified Arabic" w:hAnsi="Simplified Arabic" w:cs="Simplified Arabic"/>
          <w:sz w:val="24"/>
          <w:szCs w:val="24"/>
          <w:rtl/>
          <w:lang w:bidi="ar-IQ"/>
        </w:rPr>
        <w:t>الاستجابة الخلوية</w:t>
      </w:r>
      <w:r w:rsidR="00D92C34" w:rsidRPr="0076367F">
        <w:rPr>
          <w:rFonts w:ascii="Simplified Arabic" w:hAnsi="Simplified Arabic" w:cs="Simplified Arabic"/>
          <w:sz w:val="24"/>
          <w:szCs w:val="24"/>
          <w:lang w:bidi="ar-IQ"/>
        </w:rPr>
        <w:t>,</w:t>
      </w:r>
      <w:r w:rsidR="00D92C34" w:rsidRPr="0076367F">
        <w:rPr>
          <w:rFonts w:ascii="Simplified Arabic" w:hAnsi="Simplified Arabic" w:cs="Simplified Arabic"/>
          <w:sz w:val="24"/>
          <w:szCs w:val="24"/>
          <w:rtl/>
          <w:lang w:bidi="ar-IQ"/>
        </w:rPr>
        <w:t xml:space="preserve"> الاستجابة الجينية</w:t>
      </w:r>
      <w:r w:rsidR="00D92C34" w:rsidRPr="0076367F">
        <w:rPr>
          <w:rFonts w:ascii="Simplified Arabic" w:hAnsi="Simplified Arabic" w:cs="Simplified Arabic"/>
          <w:sz w:val="24"/>
          <w:szCs w:val="24"/>
          <w:lang w:bidi="ar-IQ"/>
        </w:rPr>
        <w:t>,</w:t>
      </w:r>
      <w:r w:rsidRPr="0076367F">
        <w:rPr>
          <w:rFonts w:ascii="Simplified Arabic" w:hAnsi="Simplified Arabic" w:cs="Simplified Arabic"/>
          <w:sz w:val="24"/>
          <w:szCs w:val="24"/>
          <w:rtl/>
          <w:lang w:bidi="ar-IQ"/>
        </w:rPr>
        <w:t xml:space="preserve"> عقار</w:t>
      </w:r>
      <w:r w:rsidR="0076367F">
        <w:rPr>
          <w:rFonts w:ascii="Simplified Arabic" w:hAnsi="Simplified Arabic" w:cs="Simplified Arabic" w:hint="cs"/>
          <w:sz w:val="24"/>
          <w:szCs w:val="24"/>
          <w:rtl/>
          <w:lang w:bidi="ar-IQ"/>
        </w:rPr>
        <w:t xml:space="preserve"> </w:t>
      </w:r>
      <w:r w:rsidR="00D92C34" w:rsidRPr="0076367F">
        <w:rPr>
          <w:rFonts w:ascii="Simplified Arabic" w:hAnsi="Simplified Arabic" w:cs="Simplified Arabic"/>
          <w:sz w:val="24"/>
          <w:szCs w:val="24"/>
          <w:rtl/>
          <w:lang w:bidi="ar-IQ"/>
        </w:rPr>
        <w:t>كليفك</w:t>
      </w:r>
      <w:r w:rsidR="00D92C34" w:rsidRPr="0076367F">
        <w:rPr>
          <w:rFonts w:ascii="Simplified Arabic" w:hAnsi="Simplified Arabic" w:cs="Simplified Arabic"/>
          <w:sz w:val="24"/>
          <w:szCs w:val="24"/>
          <w:lang w:bidi="ar-IQ"/>
        </w:rPr>
        <w:t>,</w:t>
      </w:r>
      <w:r w:rsidR="00D92C34" w:rsidRPr="0076367F">
        <w:rPr>
          <w:rFonts w:ascii="Simplified Arabic" w:hAnsi="Simplified Arabic" w:cs="Simplified Arabic"/>
          <w:sz w:val="24"/>
          <w:szCs w:val="24"/>
          <w:rtl/>
          <w:lang w:bidi="ar-IQ"/>
        </w:rPr>
        <w:t xml:space="preserve"> عقار تاسيكنا</w:t>
      </w:r>
      <w:r w:rsidR="00D92C34" w:rsidRPr="0076367F">
        <w:rPr>
          <w:rFonts w:ascii="Simplified Arabic" w:hAnsi="Simplified Arabic" w:cs="Simplified Arabic"/>
          <w:sz w:val="24"/>
          <w:szCs w:val="24"/>
          <w:lang w:bidi="ar-IQ"/>
        </w:rPr>
        <w:t>.</w:t>
      </w:r>
    </w:p>
    <w:p w:rsidR="001F4A25" w:rsidRPr="001F4A25" w:rsidRDefault="001F4A25" w:rsidP="001F4A25">
      <w:pPr>
        <w:spacing w:after="0" w:line="240" w:lineRule="auto"/>
        <w:rPr>
          <w:rFonts w:asciiTheme="majorBidi" w:hAnsiTheme="majorBidi" w:cstheme="majorBidi"/>
          <w:sz w:val="20"/>
          <w:szCs w:val="20"/>
          <w:rtl/>
          <w:lang w:bidi="ar-IQ"/>
        </w:rPr>
      </w:pPr>
      <w:r>
        <w:rPr>
          <w:rFonts w:asciiTheme="majorBidi" w:hAnsiTheme="majorBidi" w:cstheme="majorBidi"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F4A25" w:rsidRDefault="001F4A25" w:rsidP="009967AA">
      <w:pPr>
        <w:bidi w:val="0"/>
        <w:spacing w:after="0" w:line="240" w:lineRule="auto"/>
        <w:jc w:val="both"/>
        <w:rPr>
          <w:rFonts w:asciiTheme="majorBidi" w:hAnsiTheme="majorBidi" w:cstheme="majorBidi"/>
          <w:b/>
          <w:bCs/>
          <w:sz w:val="24"/>
          <w:szCs w:val="24"/>
          <w:u w:val="single"/>
          <w:lang w:bidi="ar-IQ"/>
        </w:rPr>
        <w:sectPr w:rsidR="001F4A25" w:rsidSect="006D0966">
          <w:headerReference w:type="default" r:id="rId14"/>
          <w:pgSz w:w="11906" w:h="16838"/>
          <w:pgMar w:top="1090" w:right="1376" w:bottom="1440" w:left="1350" w:header="708" w:footer="708" w:gutter="0"/>
          <w:pgNumType w:start="52"/>
          <w:cols w:space="708"/>
          <w:docGrid w:linePitch="360"/>
        </w:sectPr>
      </w:pPr>
    </w:p>
    <w:p w:rsidR="00C67568" w:rsidRPr="009967AA" w:rsidRDefault="00C67568" w:rsidP="009967AA">
      <w:pPr>
        <w:bidi w:val="0"/>
        <w:spacing w:after="0" w:line="240" w:lineRule="auto"/>
        <w:jc w:val="both"/>
        <w:rPr>
          <w:rFonts w:asciiTheme="majorBidi" w:hAnsiTheme="majorBidi" w:cstheme="majorBidi"/>
          <w:b/>
          <w:bCs/>
          <w:sz w:val="24"/>
          <w:szCs w:val="24"/>
          <w:u w:val="single"/>
          <w:lang w:bidi="ar-IQ"/>
        </w:rPr>
      </w:pPr>
      <w:r w:rsidRPr="009967AA">
        <w:rPr>
          <w:rFonts w:asciiTheme="majorBidi" w:hAnsiTheme="majorBidi" w:cstheme="majorBidi"/>
          <w:b/>
          <w:bCs/>
          <w:sz w:val="24"/>
          <w:szCs w:val="24"/>
          <w:u w:val="single"/>
          <w:lang w:bidi="ar-IQ"/>
        </w:rPr>
        <w:lastRenderedPageBreak/>
        <w:t>In</w:t>
      </w:r>
      <w:r w:rsidR="00200025" w:rsidRPr="009967AA">
        <w:rPr>
          <w:rFonts w:asciiTheme="majorBidi" w:hAnsiTheme="majorBidi" w:cstheme="majorBidi"/>
          <w:b/>
          <w:bCs/>
          <w:sz w:val="24"/>
          <w:szCs w:val="24"/>
          <w:u w:val="single"/>
          <w:lang w:bidi="ar-IQ"/>
        </w:rPr>
        <w:t>t</w:t>
      </w:r>
      <w:r w:rsidRPr="009967AA">
        <w:rPr>
          <w:rFonts w:asciiTheme="majorBidi" w:hAnsiTheme="majorBidi" w:cstheme="majorBidi"/>
          <w:b/>
          <w:bCs/>
          <w:sz w:val="24"/>
          <w:szCs w:val="24"/>
          <w:u w:val="single"/>
          <w:lang w:bidi="ar-IQ"/>
        </w:rPr>
        <w:t>roduction</w:t>
      </w:r>
    </w:p>
    <w:p w:rsidR="001F4A25" w:rsidRPr="001F4A25" w:rsidRDefault="001F4A25" w:rsidP="001F4A25">
      <w:pPr>
        <w:keepNext/>
        <w:framePr w:dropCap="drop" w:lines="3" w:wrap="around" w:vAnchor="text" w:hAnchor="text"/>
        <w:bidi w:val="0"/>
        <w:spacing w:after="0" w:line="827" w:lineRule="exact"/>
        <w:jc w:val="both"/>
        <w:textAlignment w:val="baseline"/>
        <w:rPr>
          <w:rFonts w:asciiTheme="majorBidi" w:hAnsiTheme="majorBidi" w:cstheme="majorBidi"/>
          <w:position w:val="-10"/>
          <w:sz w:val="107"/>
          <w:szCs w:val="107"/>
          <w:lang w:bidi="ar-IQ"/>
        </w:rPr>
      </w:pPr>
      <w:r w:rsidRPr="001F4A25">
        <w:rPr>
          <w:rFonts w:asciiTheme="majorBidi" w:hAnsiTheme="majorBidi" w:cstheme="majorBidi"/>
          <w:position w:val="-10"/>
          <w:sz w:val="107"/>
          <w:szCs w:val="107"/>
          <w:lang w:bidi="ar-IQ"/>
        </w:rPr>
        <w:t>C</w:t>
      </w:r>
    </w:p>
    <w:p w:rsidR="004B56B7" w:rsidRPr="009967AA" w:rsidRDefault="00C67568"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hronic myeloid  leukemia (CML) is a myeloproliferative disorder affecting hemopoi</w:t>
      </w:r>
      <w:r w:rsidR="000420E4" w:rsidRPr="009967AA">
        <w:rPr>
          <w:rFonts w:asciiTheme="majorBidi" w:hAnsiTheme="majorBidi" w:cstheme="majorBidi"/>
          <w:sz w:val="24"/>
          <w:szCs w:val="24"/>
          <w:lang w:bidi="ar-IQ"/>
        </w:rPr>
        <w:t>e</w:t>
      </w:r>
      <w:r w:rsidRPr="009967AA">
        <w:rPr>
          <w:rFonts w:asciiTheme="majorBidi" w:hAnsiTheme="majorBidi" w:cstheme="majorBidi"/>
          <w:sz w:val="24"/>
          <w:szCs w:val="24"/>
          <w:lang w:bidi="ar-IQ"/>
        </w:rPr>
        <w:t>tic stem cells and affect predominantly granulocyte progenitor line.It is characterized by acquired chromosomal abnormality which called the Philadelphia chromosome (ph+) in 95% of cases</w:t>
      </w:r>
      <w:r w:rsidR="000420E4" w:rsidRPr="009967AA">
        <w:rPr>
          <w:rFonts w:asciiTheme="majorBidi" w:hAnsiTheme="majorBidi" w:cstheme="majorBidi"/>
          <w:sz w:val="24"/>
          <w:szCs w:val="24"/>
          <w:lang w:bidi="ar-IQ"/>
        </w:rPr>
        <w:t>[1]</w:t>
      </w:r>
      <w:r w:rsidR="004B56B7" w:rsidRPr="009967AA">
        <w:rPr>
          <w:rFonts w:asciiTheme="majorBidi" w:hAnsiTheme="majorBidi" w:cstheme="majorBidi"/>
          <w:sz w:val="24"/>
          <w:szCs w:val="24"/>
          <w:lang w:bidi="ar-IQ"/>
        </w:rPr>
        <w:t>,the philadel</w:t>
      </w:r>
      <w:r w:rsidRPr="009967AA">
        <w:rPr>
          <w:rFonts w:asciiTheme="majorBidi" w:hAnsiTheme="majorBidi" w:cstheme="majorBidi"/>
          <w:sz w:val="24"/>
          <w:szCs w:val="24"/>
          <w:lang w:bidi="ar-IQ"/>
        </w:rPr>
        <w:t xml:space="preserve">phia chromosome is a genuine cytogenetic signature of the disease which is a </w:t>
      </w:r>
      <w:r w:rsidR="006C152E" w:rsidRPr="009967AA">
        <w:rPr>
          <w:rFonts w:asciiTheme="majorBidi" w:hAnsiTheme="majorBidi" w:cstheme="majorBidi"/>
          <w:sz w:val="24"/>
          <w:szCs w:val="24"/>
          <w:lang w:bidi="ar-IQ"/>
        </w:rPr>
        <w:t xml:space="preserve">chimeric protein made from </w:t>
      </w:r>
      <w:r w:rsidRPr="009967AA">
        <w:rPr>
          <w:rFonts w:asciiTheme="majorBidi" w:hAnsiTheme="majorBidi" w:cstheme="majorBidi"/>
          <w:sz w:val="24"/>
          <w:szCs w:val="24"/>
          <w:lang w:bidi="ar-IQ"/>
        </w:rPr>
        <w:t xml:space="preserve">reciprocal </w:t>
      </w:r>
      <w:r w:rsidR="00EA1679" w:rsidRPr="009967AA">
        <w:rPr>
          <w:rFonts w:asciiTheme="majorBidi" w:hAnsiTheme="majorBidi" w:cstheme="majorBidi"/>
          <w:sz w:val="24"/>
          <w:szCs w:val="24"/>
          <w:lang w:bidi="ar-IQ"/>
        </w:rPr>
        <w:t xml:space="preserve"> and balanced translocation</w:t>
      </w:r>
      <w:r w:rsidR="0014379D">
        <w:rPr>
          <w:rFonts w:asciiTheme="majorBidi" w:hAnsiTheme="majorBidi" w:cstheme="majorBidi"/>
          <w:sz w:val="24"/>
          <w:szCs w:val="24"/>
          <w:lang w:bidi="ar-IQ"/>
        </w:rPr>
        <w:t xml:space="preserve"> (</w:t>
      </w:r>
      <w:r w:rsidR="00EA1679" w:rsidRPr="009967AA">
        <w:rPr>
          <w:rFonts w:asciiTheme="majorBidi" w:hAnsiTheme="majorBidi" w:cstheme="majorBidi"/>
          <w:sz w:val="24"/>
          <w:szCs w:val="24"/>
          <w:lang w:bidi="ar-IQ"/>
        </w:rPr>
        <w:t>w</w:t>
      </w:r>
      <w:r w:rsidR="0014379D">
        <w:rPr>
          <w:rFonts w:asciiTheme="majorBidi" w:hAnsiTheme="majorBidi" w:cstheme="majorBidi"/>
          <w:sz w:val="24"/>
          <w:szCs w:val="24"/>
          <w:lang w:bidi="ar-IQ"/>
        </w:rPr>
        <w:t>ithout loss of genetic material</w:t>
      </w:r>
      <w:r w:rsidR="00EA1679" w:rsidRPr="009967AA">
        <w:rPr>
          <w:rFonts w:asciiTheme="majorBidi" w:hAnsiTheme="majorBidi" w:cstheme="majorBidi"/>
          <w:sz w:val="24"/>
          <w:szCs w:val="24"/>
          <w:lang w:bidi="ar-IQ"/>
        </w:rPr>
        <w:t>) between the long arms of chromosomes 9 and 22  t(9; 22)(q34;q11)that result in very short chromosome karyotype of 22 chromosome and very long chromosome 9.The</w:t>
      </w:r>
      <w:r w:rsidR="00244DE3" w:rsidRPr="009967AA">
        <w:rPr>
          <w:rFonts w:asciiTheme="majorBidi" w:hAnsiTheme="majorBidi" w:cstheme="majorBidi"/>
          <w:sz w:val="24"/>
          <w:szCs w:val="24"/>
          <w:lang w:bidi="ar-IQ"/>
        </w:rPr>
        <w:t xml:space="preserve"> mechanism for this result in the</w:t>
      </w:r>
      <w:r w:rsidR="0014379D">
        <w:rPr>
          <w:rFonts w:asciiTheme="majorBidi" w:hAnsiTheme="majorBidi" w:cstheme="majorBidi"/>
          <w:sz w:val="24"/>
          <w:szCs w:val="24"/>
          <w:lang w:bidi="ar-IQ"/>
        </w:rPr>
        <w:t xml:space="preserve"> fusion of two genes</w:t>
      </w:r>
      <w:r w:rsidR="00EA1679" w:rsidRPr="009967AA">
        <w:rPr>
          <w:rFonts w:asciiTheme="majorBidi" w:hAnsiTheme="majorBidi" w:cstheme="majorBidi"/>
          <w:sz w:val="24"/>
          <w:szCs w:val="24"/>
          <w:lang w:bidi="ar-IQ"/>
        </w:rPr>
        <w:t>: the ABL gene located in 9q34 and the gene BCR located in 22q11, which generate a hybrid gene called BCR-ABL encodi</w:t>
      </w:r>
      <w:r w:rsidR="0014379D">
        <w:rPr>
          <w:rFonts w:asciiTheme="majorBidi" w:hAnsiTheme="majorBidi" w:cstheme="majorBidi"/>
          <w:sz w:val="24"/>
          <w:szCs w:val="24"/>
          <w:lang w:bidi="ar-IQ"/>
        </w:rPr>
        <w:t>ng a chimeric protein 210 KDa (</w:t>
      </w:r>
      <w:r w:rsidR="00EA1679" w:rsidRPr="009967AA">
        <w:rPr>
          <w:rFonts w:asciiTheme="majorBidi" w:hAnsiTheme="majorBidi" w:cstheme="majorBidi"/>
          <w:sz w:val="24"/>
          <w:szCs w:val="24"/>
          <w:lang w:bidi="ar-IQ"/>
        </w:rPr>
        <w:t>P 210 BCR-ABL) responsible for dy</w:t>
      </w:r>
      <w:r w:rsidR="00244DE3" w:rsidRPr="009967AA">
        <w:rPr>
          <w:rFonts w:asciiTheme="majorBidi" w:hAnsiTheme="majorBidi" w:cstheme="majorBidi"/>
          <w:sz w:val="24"/>
          <w:szCs w:val="24"/>
          <w:lang w:bidi="ar-IQ"/>
        </w:rPr>
        <w:t xml:space="preserve">sregulated tyrosine kinase  which </w:t>
      </w:r>
      <w:r w:rsidR="00EA1679" w:rsidRPr="009967AA">
        <w:rPr>
          <w:rFonts w:asciiTheme="majorBidi" w:hAnsiTheme="majorBidi" w:cstheme="majorBidi"/>
          <w:sz w:val="24"/>
          <w:szCs w:val="24"/>
          <w:lang w:bidi="ar-IQ"/>
        </w:rPr>
        <w:t>plays a major role in the development of the disease</w:t>
      </w:r>
      <w:r w:rsidR="000420E4" w:rsidRPr="009967AA">
        <w:rPr>
          <w:rFonts w:asciiTheme="majorBidi" w:hAnsiTheme="majorBidi" w:cstheme="majorBidi"/>
          <w:sz w:val="24"/>
          <w:szCs w:val="24"/>
          <w:lang w:bidi="ar-IQ"/>
        </w:rPr>
        <w:t>[2]</w:t>
      </w:r>
      <w:r w:rsidR="004B56B7" w:rsidRPr="009967AA">
        <w:rPr>
          <w:rFonts w:asciiTheme="majorBidi" w:hAnsiTheme="majorBidi" w:cstheme="majorBidi"/>
          <w:sz w:val="24"/>
          <w:szCs w:val="24"/>
          <w:lang w:bidi="ar-IQ"/>
        </w:rPr>
        <w:t xml:space="preserve">. </w:t>
      </w:r>
    </w:p>
    <w:p w:rsidR="004B56B7" w:rsidRPr="009967AA" w:rsidRDefault="004B56B7" w:rsidP="009967AA">
      <w:pPr>
        <w:bidi w:val="0"/>
        <w:spacing w:after="0" w:line="240" w:lineRule="auto"/>
        <w:jc w:val="both"/>
        <w:rPr>
          <w:rFonts w:asciiTheme="majorBidi" w:hAnsiTheme="majorBidi" w:cstheme="majorBidi"/>
          <w:sz w:val="24"/>
          <w:szCs w:val="24"/>
          <w:vertAlign w:val="superscript"/>
          <w:lang w:bidi="ar-IQ"/>
        </w:rPr>
      </w:pPr>
      <w:r w:rsidRPr="009967AA">
        <w:rPr>
          <w:rFonts w:asciiTheme="majorBidi" w:hAnsiTheme="majorBidi" w:cstheme="majorBidi"/>
          <w:sz w:val="24"/>
          <w:szCs w:val="24"/>
          <w:lang w:bidi="ar-IQ"/>
        </w:rPr>
        <w:t xml:space="preserve">The molecular </w:t>
      </w:r>
      <w:r w:rsidR="00244DE3" w:rsidRPr="009967AA">
        <w:rPr>
          <w:rFonts w:asciiTheme="majorBidi" w:hAnsiTheme="majorBidi" w:cstheme="majorBidi"/>
          <w:sz w:val="24"/>
          <w:szCs w:val="24"/>
          <w:lang w:bidi="ar-IQ"/>
        </w:rPr>
        <w:t xml:space="preserve">basis of this translocation is </w:t>
      </w:r>
      <w:r w:rsidRPr="009967AA">
        <w:rPr>
          <w:rFonts w:asciiTheme="majorBidi" w:hAnsiTheme="majorBidi" w:cstheme="majorBidi"/>
          <w:sz w:val="24"/>
          <w:szCs w:val="24"/>
          <w:lang w:bidi="ar-IQ"/>
        </w:rPr>
        <w:t xml:space="preserve">well known, with its cellular consequences, which allowed on one side a better understanding of the pathophysiology of disease, and on the other side assessment of established tools used for diagnosis and  therapeutic monitoring </w:t>
      </w:r>
      <w:r w:rsidR="0014379D">
        <w:rPr>
          <w:rFonts w:asciiTheme="majorBidi" w:hAnsiTheme="majorBidi" w:cstheme="majorBidi"/>
          <w:sz w:val="24"/>
          <w:szCs w:val="24"/>
          <w:lang w:bidi="ar-IQ"/>
        </w:rPr>
        <w:t>[3,</w:t>
      </w:r>
      <w:r w:rsidR="000420E4" w:rsidRPr="009967AA">
        <w:rPr>
          <w:rFonts w:asciiTheme="majorBidi" w:hAnsiTheme="majorBidi" w:cstheme="majorBidi"/>
          <w:sz w:val="24"/>
          <w:szCs w:val="24"/>
          <w:lang w:bidi="ar-IQ"/>
        </w:rPr>
        <w:t>4].</w:t>
      </w:r>
      <w:r w:rsidRPr="009967AA">
        <w:rPr>
          <w:rFonts w:asciiTheme="majorBidi" w:hAnsiTheme="majorBidi" w:cstheme="majorBidi"/>
          <w:sz w:val="24"/>
          <w:szCs w:val="24"/>
          <w:vertAlign w:val="superscript"/>
          <w:lang w:bidi="ar-IQ"/>
        </w:rPr>
        <w:t>.</w:t>
      </w:r>
    </w:p>
    <w:p w:rsidR="00E0317C" w:rsidRPr="009967AA" w:rsidRDefault="004B56B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Indeed. The introduction of the inhibitors of tyrosine kin</w:t>
      </w:r>
      <w:r w:rsidR="00244DE3" w:rsidRPr="009967AA">
        <w:rPr>
          <w:rFonts w:asciiTheme="majorBidi" w:hAnsiTheme="majorBidi" w:cstheme="majorBidi"/>
          <w:sz w:val="24"/>
          <w:szCs w:val="24"/>
          <w:lang w:bidi="ar-IQ"/>
        </w:rPr>
        <w:t>ase activity of BCR-ABL (Imatinib and Nilotinib</w:t>
      </w:r>
      <w:r w:rsidRPr="009967AA">
        <w:rPr>
          <w:rFonts w:asciiTheme="majorBidi" w:hAnsiTheme="majorBidi" w:cstheme="majorBidi"/>
          <w:sz w:val="24"/>
          <w:szCs w:val="24"/>
          <w:lang w:bidi="ar-IQ"/>
        </w:rPr>
        <w:t>) have changed the therapeutic management of this disease, because this targeted therapy has an anti-tyrosine kinase activity</w:t>
      </w:r>
      <w:r w:rsidR="00244DE3" w:rsidRPr="009967AA">
        <w:rPr>
          <w:rFonts w:asciiTheme="majorBidi" w:hAnsiTheme="majorBidi" w:cstheme="majorBidi"/>
          <w:sz w:val="24"/>
          <w:szCs w:val="24"/>
          <w:lang w:bidi="ar-IQ"/>
        </w:rPr>
        <w:t xml:space="preserve"> which allowed sustained and </w:t>
      </w:r>
      <w:r w:rsidRPr="009967AA">
        <w:rPr>
          <w:rFonts w:asciiTheme="majorBidi" w:hAnsiTheme="majorBidi" w:cstheme="majorBidi"/>
          <w:sz w:val="24"/>
          <w:szCs w:val="24"/>
          <w:lang w:bidi="ar-IQ"/>
        </w:rPr>
        <w:t>durable</w:t>
      </w:r>
      <w:r w:rsidR="00E0317C" w:rsidRPr="009967AA">
        <w:rPr>
          <w:rFonts w:asciiTheme="majorBidi" w:hAnsiTheme="majorBidi" w:cstheme="majorBidi"/>
          <w:sz w:val="24"/>
          <w:szCs w:val="24"/>
          <w:lang w:bidi="ar-IQ"/>
        </w:rPr>
        <w:t xml:space="preserve"> responses that are expressed at 3 different levels:</w:t>
      </w:r>
    </w:p>
    <w:p w:rsidR="00E0317C" w:rsidRPr="009967AA" w:rsidRDefault="00E0317C"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1-Hematological response: corresponding to the disappearance of splenomegaly and normalization of hematological parameters.</w:t>
      </w:r>
    </w:p>
    <w:p w:rsidR="00E0317C" w:rsidRPr="009967AA" w:rsidRDefault="00E0317C"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2-Cytogenetic response: corresponding to</w:t>
      </w:r>
      <w:r w:rsidR="0014379D">
        <w:rPr>
          <w:rFonts w:asciiTheme="majorBidi" w:hAnsiTheme="majorBidi" w:cstheme="majorBidi"/>
          <w:sz w:val="24"/>
          <w:szCs w:val="24"/>
          <w:lang w:bidi="ar-IQ"/>
        </w:rPr>
        <w:t xml:space="preserve"> the decrease in mitosis of Ph+</w:t>
      </w:r>
      <w:r w:rsidRPr="009967AA">
        <w:rPr>
          <w:rFonts w:asciiTheme="majorBidi" w:hAnsiTheme="majorBidi" w:cstheme="majorBidi"/>
          <w:sz w:val="24"/>
          <w:szCs w:val="24"/>
          <w:lang w:bidi="ar-IQ"/>
        </w:rPr>
        <w:t xml:space="preserve">; it is </w:t>
      </w:r>
      <w:r w:rsidRPr="009967AA">
        <w:rPr>
          <w:rFonts w:asciiTheme="majorBidi" w:hAnsiTheme="majorBidi" w:cstheme="majorBidi"/>
          <w:sz w:val="24"/>
          <w:szCs w:val="24"/>
          <w:lang w:bidi="ar-IQ"/>
        </w:rPr>
        <w:lastRenderedPageBreak/>
        <w:t>measured  as a percentage of residual Ph+ cells.</w:t>
      </w:r>
    </w:p>
    <w:p w:rsidR="00B57C28" w:rsidRPr="009967AA" w:rsidRDefault="00E0317C"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3-Molecular response: corresponding to the decrease in BCR-ABL transcript gene.</w:t>
      </w:r>
    </w:p>
    <w:p w:rsidR="00B57C28" w:rsidRPr="009967AA" w:rsidRDefault="00B57C28"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Imatinibmesylate is a powerful and selective competitive inhibitor of BCR-ABL tyrosine kinase, it the first molecular target therapy for the treatment of CML</w:t>
      </w:r>
      <w:r w:rsidR="0014379D">
        <w:rPr>
          <w:rFonts w:asciiTheme="majorBidi" w:hAnsiTheme="majorBidi" w:cstheme="majorBidi"/>
          <w:sz w:val="24"/>
          <w:szCs w:val="24"/>
          <w:lang w:bidi="ar-IQ"/>
        </w:rPr>
        <w:t>[5,</w:t>
      </w:r>
      <w:r w:rsidR="00353DDA" w:rsidRPr="009967AA">
        <w:rPr>
          <w:rFonts w:asciiTheme="majorBidi" w:hAnsiTheme="majorBidi" w:cstheme="majorBidi"/>
          <w:sz w:val="24"/>
          <w:szCs w:val="24"/>
          <w:lang w:bidi="ar-IQ"/>
        </w:rPr>
        <w:t>6]</w:t>
      </w:r>
      <w:r w:rsidRPr="009967AA">
        <w:rPr>
          <w:rFonts w:asciiTheme="majorBidi" w:hAnsiTheme="majorBidi" w:cstheme="majorBidi"/>
          <w:sz w:val="24"/>
          <w:szCs w:val="24"/>
          <w:lang w:bidi="ar-IQ"/>
        </w:rPr>
        <w:t>.</w:t>
      </w:r>
    </w:p>
    <w:p w:rsidR="00140C37" w:rsidRDefault="00B57C28"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The newly prescribed tyrosine kinase inhibito</w:t>
      </w:r>
      <w:r w:rsidR="0014379D">
        <w:rPr>
          <w:rFonts w:asciiTheme="majorBidi" w:hAnsiTheme="majorBidi" w:cstheme="majorBidi"/>
          <w:sz w:val="24"/>
          <w:szCs w:val="24"/>
          <w:lang w:bidi="ar-IQ"/>
        </w:rPr>
        <w:t>r was Nilotinib (</w:t>
      </w:r>
      <w:r w:rsidR="00244DE3" w:rsidRPr="009967AA">
        <w:rPr>
          <w:rFonts w:asciiTheme="majorBidi" w:hAnsiTheme="majorBidi" w:cstheme="majorBidi"/>
          <w:sz w:val="24"/>
          <w:szCs w:val="24"/>
          <w:lang w:bidi="ar-IQ"/>
        </w:rPr>
        <w:t>Tasigna)</w:t>
      </w:r>
      <w:r w:rsidR="00244DE3" w:rsidRPr="009967AA">
        <w:rPr>
          <w:rFonts w:asciiTheme="majorBidi" w:hAnsiTheme="majorBidi" w:cstheme="majorBidi"/>
          <w:sz w:val="24"/>
          <w:szCs w:val="24"/>
          <w:vertAlign w:val="superscript"/>
          <w:lang w:bidi="ar-IQ"/>
        </w:rPr>
        <w:t>®</w:t>
      </w:r>
      <w:r w:rsidRPr="009967AA">
        <w:rPr>
          <w:rFonts w:asciiTheme="majorBidi" w:hAnsiTheme="majorBidi" w:cstheme="majorBidi"/>
          <w:sz w:val="24"/>
          <w:szCs w:val="24"/>
          <w:lang w:bidi="ar-IQ"/>
        </w:rPr>
        <w:t xml:space="preserve"> was used in chronic phase and accelerated phase </w:t>
      </w:r>
      <w:r w:rsidR="00D91073" w:rsidRPr="009967AA">
        <w:rPr>
          <w:rFonts w:asciiTheme="majorBidi" w:hAnsiTheme="majorBidi" w:cstheme="majorBidi"/>
          <w:sz w:val="24"/>
          <w:szCs w:val="24"/>
          <w:lang w:bidi="ar-IQ"/>
        </w:rPr>
        <w:t>in patients who are no longer benefiting from, or did not tolerate Imatinibmesylate</w:t>
      </w:r>
      <w:r w:rsidR="0014379D">
        <w:rPr>
          <w:rFonts w:asciiTheme="majorBidi" w:hAnsiTheme="majorBidi" w:cstheme="majorBidi"/>
          <w:sz w:val="24"/>
          <w:szCs w:val="24"/>
          <w:lang w:bidi="ar-IQ"/>
        </w:rPr>
        <w:t xml:space="preserve"> (</w:t>
      </w:r>
      <w:r w:rsidR="00D91073" w:rsidRPr="009967AA">
        <w:rPr>
          <w:rFonts w:asciiTheme="majorBidi" w:hAnsiTheme="majorBidi" w:cstheme="majorBidi"/>
          <w:sz w:val="24"/>
          <w:szCs w:val="24"/>
          <w:lang w:bidi="ar-IQ"/>
        </w:rPr>
        <w:t>Gleevec)</w:t>
      </w:r>
      <w:r w:rsidR="00353DDA" w:rsidRPr="009967AA">
        <w:rPr>
          <w:rFonts w:asciiTheme="majorBidi" w:hAnsiTheme="majorBidi" w:cstheme="majorBidi"/>
          <w:sz w:val="24"/>
          <w:szCs w:val="24"/>
          <w:lang w:bidi="ar-IQ"/>
        </w:rPr>
        <w:t xml:space="preserve"> [7]</w:t>
      </w:r>
      <w:r w:rsidR="00D91073" w:rsidRPr="009967AA">
        <w:rPr>
          <w:rFonts w:asciiTheme="majorBidi" w:hAnsiTheme="majorBidi" w:cstheme="majorBidi"/>
          <w:sz w:val="24"/>
          <w:szCs w:val="24"/>
          <w:lang w:bidi="ar-IQ"/>
        </w:rPr>
        <w:t>.</w:t>
      </w:r>
    </w:p>
    <w:p w:rsidR="001F4A25" w:rsidRPr="009967AA" w:rsidRDefault="001F4A25" w:rsidP="001F4A25">
      <w:pPr>
        <w:bidi w:val="0"/>
        <w:spacing w:after="0" w:line="240" w:lineRule="auto"/>
        <w:jc w:val="both"/>
        <w:rPr>
          <w:rFonts w:asciiTheme="majorBidi" w:hAnsiTheme="majorBidi" w:cstheme="majorBidi"/>
          <w:sz w:val="24"/>
          <w:szCs w:val="24"/>
          <w:lang w:bidi="ar-IQ"/>
        </w:rPr>
      </w:pPr>
    </w:p>
    <w:p w:rsidR="00D02ED6" w:rsidRPr="009967AA" w:rsidRDefault="00200025" w:rsidP="001F4A25">
      <w:pPr>
        <w:bidi w:val="0"/>
        <w:spacing w:after="0" w:line="240" w:lineRule="auto"/>
        <w:jc w:val="both"/>
        <w:rPr>
          <w:rFonts w:asciiTheme="majorBidi" w:hAnsiTheme="majorBidi" w:cstheme="majorBidi"/>
          <w:b/>
          <w:bCs/>
          <w:sz w:val="24"/>
          <w:szCs w:val="24"/>
          <w:u w:val="single"/>
          <w:lang w:bidi="ar-IQ"/>
        </w:rPr>
      </w:pPr>
      <w:r w:rsidRPr="009967AA">
        <w:rPr>
          <w:rFonts w:asciiTheme="majorBidi" w:hAnsiTheme="majorBidi" w:cstheme="majorBidi"/>
          <w:b/>
          <w:bCs/>
          <w:sz w:val="24"/>
          <w:szCs w:val="24"/>
          <w:u w:val="single"/>
          <w:lang w:bidi="ar-IQ"/>
        </w:rPr>
        <w:t>Material</w:t>
      </w:r>
      <w:r w:rsidR="0014379D">
        <w:rPr>
          <w:rFonts w:asciiTheme="majorBidi" w:hAnsiTheme="majorBidi" w:cstheme="majorBidi"/>
          <w:b/>
          <w:bCs/>
          <w:sz w:val="24"/>
          <w:szCs w:val="24"/>
          <w:u w:val="single"/>
          <w:lang w:bidi="ar-IQ"/>
        </w:rPr>
        <w:t>s</w:t>
      </w:r>
      <w:r w:rsidRPr="009967AA">
        <w:rPr>
          <w:rFonts w:asciiTheme="majorBidi" w:hAnsiTheme="majorBidi" w:cstheme="majorBidi"/>
          <w:b/>
          <w:bCs/>
          <w:sz w:val="24"/>
          <w:szCs w:val="24"/>
          <w:u w:val="single"/>
          <w:lang w:bidi="ar-IQ"/>
        </w:rPr>
        <w:t xml:space="preserve"> and </w:t>
      </w:r>
      <w:r w:rsidR="001F4A25">
        <w:rPr>
          <w:rFonts w:asciiTheme="majorBidi" w:hAnsiTheme="majorBidi" w:cstheme="majorBidi"/>
          <w:b/>
          <w:bCs/>
          <w:sz w:val="24"/>
          <w:szCs w:val="24"/>
          <w:u w:val="single"/>
          <w:lang w:bidi="ar-IQ"/>
        </w:rPr>
        <w:t>M</w:t>
      </w:r>
      <w:r w:rsidRPr="009967AA">
        <w:rPr>
          <w:rFonts w:asciiTheme="majorBidi" w:hAnsiTheme="majorBidi" w:cstheme="majorBidi"/>
          <w:b/>
          <w:bCs/>
          <w:sz w:val="24"/>
          <w:szCs w:val="24"/>
          <w:u w:val="single"/>
          <w:lang w:bidi="ar-IQ"/>
        </w:rPr>
        <w:t>ethods</w:t>
      </w:r>
    </w:p>
    <w:p w:rsidR="00D02ED6" w:rsidRPr="009967AA" w:rsidRDefault="007711AA" w:rsidP="009967AA">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D02ED6" w:rsidRPr="009967AA">
        <w:rPr>
          <w:rFonts w:asciiTheme="majorBidi" w:hAnsiTheme="majorBidi" w:cstheme="majorBidi"/>
          <w:sz w:val="24"/>
          <w:szCs w:val="24"/>
          <w:lang w:bidi="ar-IQ"/>
        </w:rPr>
        <w:t>A cross sectional study conducte</w:t>
      </w:r>
      <w:r w:rsidR="007D76B3" w:rsidRPr="009967AA">
        <w:rPr>
          <w:rFonts w:asciiTheme="majorBidi" w:hAnsiTheme="majorBidi" w:cstheme="majorBidi"/>
          <w:sz w:val="24"/>
          <w:szCs w:val="24"/>
          <w:lang w:bidi="ar-IQ"/>
        </w:rPr>
        <w:t xml:space="preserve">d at the </w:t>
      </w:r>
      <w:r w:rsidR="007F0D45" w:rsidRPr="009967AA">
        <w:rPr>
          <w:rFonts w:asciiTheme="majorBidi" w:hAnsiTheme="majorBidi" w:cstheme="majorBidi"/>
          <w:sz w:val="24"/>
          <w:szCs w:val="24"/>
          <w:lang w:bidi="ar-IQ"/>
        </w:rPr>
        <w:t>hematology unit</w:t>
      </w:r>
      <w:r w:rsidR="0014379D">
        <w:rPr>
          <w:rFonts w:asciiTheme="majorBidi" w:hAnsiTheme="majorBidi" w:cstheme="majorBidi"/>
          <w:sz w:val="24"/>
          <w:szCs w:val="24"/>
          <w:lang w:bidi="ar-IQ"/>
        </w:rPr>
        <w:t xml:space="preserve"> of M</w:t>
      </w:r>
      <w:r w:rsidR="007D76B3" w:rsidRPr="009967AA">
        <w:rPr>
          <w:rFonts w:asciiTheme="majorBidi" w:hAnsiTheme="majorBidi" w:cstheme="majorBidi"/>
          <w:sz w:val="24"/>
          <w:szCs w:val="24"/>
          <w:lang w:bidi="ar-IQ"/>
        </w:rPr>
        <w:t>a</w:t>
      </w:r>
      <w:r w:rsidR="0014379D">
        <w:rPr>
          <w:rFonts w:asciiTheme="majorBidi" w:hAnsiTheme="majorBidi" w:cstheme="majorBidi"/>
          <w:sz w:val="24"/>
          <w:szCs w:val="24"/>
          <w:lang w:bidi="ar-IQ"/>
        </w:rPr>
        <w:t>rjan hospital</w:t>
      </w:r>
      <w:r w:rsidR="00D02ED6" w:rsidRPr="009967AA">
        <w:rPr>
          <w:rFonts w:asciiTheme="majorBidi" w:hAnsiTheme="majorBidi" w:cstheme="majorBidi"/>
          <w:sz w:val="24"/>
          <w:szCs w:val="24"/>
          <w:lang w:bidi="ar-IQ"/>
        </w:rPr>
        <w:t>,</w:t>
      </w:r>
      <w:r w:rsidR="003F5A5D" w:rsidRPr="009967AA">
        <w:rPr>
          <w:rFonts w:asciiTheme="majorBidi" w:hAnsiTheme="majorBidi" w:cstheme="majorBidi"/>
          <w:sz w:val="24"/>
          <w:szCs w:val="24"/>
          <w:lang w:bidi="ar-IQ"/>
        </w:rPr>
        <w:t xml:space="preserve"> Babylon, Iraq from the early </w:t>
      </w:r>
      <w:r w:rsidR="00D02ED6" w:rsidRPr="009967AA">
        <w:rPr>
          <w:rFonts w:asciiTheme="majorBidi" w:hAnsiTheme="majorBidi" w:cstheme="majorBidi"/>
          <w:sz w:val="24"/>
          <w:szCs w:val="24"/>
          <w:lang w:bidi="ar-IQ"/>
        </w:rPr>
        <w:t xml:space="preserve"> January 2014 to the e</w:t>
      </w:r>
      <w:r w:rsidR="00066733" w:rsidRPr="009967AA">
        <w:rPr>
          <w:rFonts w:asciiTheme="majorBidi" w:hAnsiTheme="majorBidi" w:cstheme="majorBidi"/>
          <w:sz w:val="24"/>
          <w:szCs w:val="24"/>
          <w:lang w:bidi="ar-IQ"/>
        </w:rPr>
        <w:t>nd of December 2014, 94</w:t>
      </w:r>
      <w:r w:rsidR="0014379D">
        <w:rPr>
          <w:rFonts w:asciiTheme="majorBidi" w:hAnsiTheme="majorBidi" w:cstheme="majorBidi"/>
          <w:sz w:val="24"/>
          <w:szCs w:val="24"/>
          <w:lang w:bidi="ar-IQ"/>
        </w:rPr>
        <w:t xml:space="preserve"> patients (</w:t>
      </w:r>
      <w:r w:rsidR="00D02ED6" w:rsidRPr="009967AA">
        <w:rPr>
          <w:rFonts w:asciiTheme="majorBidi" w:hAnsiTheme="majorBidi" w:cstheme="majorBidi"/>
          <w:sz w:val="24"/>
          <w:szCs w:val="24"/>
          <w:lang w:bidi="ar-IQ"/>
        </w:rPr>
        <w:t>42 male, 52 female) were  enrolled in this study at their monthly follow up and drug intake.</w:t>
      </w:r>
    </w:p>
    <w:p w:rsidR="00251747" w:rsidRPr="009967AA" w:rsidRDefault="00D02ED6"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Information taken about age, sex, residence, duration of the disease</w:t>
      </w:r>
      <w:r w:rsidR="008736FD" w:rsidRPr="009967AA">
        <w:rPr>
          <w:rFonts w:asciiTheme="majorBidi" w:hAnsiTheme="majorBidi" w:cstheme="majorBidi"/>
          <w:sz w:val="24"/>
          <w:szCs w:val="24"/>
          <w:lang w:bidi="ar-IQ"/>
        </w:rPr>
        <w:t>, any complications, follow up of their responses, all (hematological, cytogenetic and molecular) responses with measurement of liver function tests and amylase enzyme.</w:t>
      </w:r>
    </w:p>
    <w:p w:rsidR="00251747" w:rsidRPr="009967AA" w:rsidRDefault="0025174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Ninety four total regularly attend patients</w:t>
      </w:r>
      <w:r w:rsidR="00C777D3" w:rsidRPr="009967AA">
        <w:rPr>
          <w:rFonts w:asciiTheme="majorBidi" w:hAnsiTheme="majorBidi" w:cstheme="majorBidi"/>
          <w:sz w:val="24"/>
          <w:szCs w:val="24"/>
          <w:lang w:bidi="ar-IQ"/>
        </w:rPr>
        <w:t>, 66</w:t>
      </w:r>
      <w:r w:rsidRPr="009967AA">
        <w:rPr>
          <w:rFonts w:asciiTheme="majorBidi" w:hAnsiTheme="majorBidi" w:cstheme="majorBidi"/>
          <w:sz w:val="24"/>
          <w:szCs w:val="24"/>
          <w:lang w:bidi="ar-IQ"/>
        </w:rPr>
        <w:t xml:space="preserve"> patients still on Glee</w:t>
      </w:r>
      <w:r w:rsidR="007F0D45" w:rsidRPr="009967AA">
        <w:rPr>
          <w:rFonts w:asciiTheme="majorBidi" w:hAnsiTheme="majorBidi" w:cstheme="majorBidi"/>
          <w:sz w:val="24"/>
          <w:szCs w:val="24"/>
          <w:lang w:bidi="ar-IQ"/>
        </w:rPr>
        <w:t>vic treatment while 28</w:t>
      </w:r>
      <w:r w:rsidRPr="009967AA">
        <w:rPr>
          <w:rFonts w:asciiTheme="majorBidi" w:hAnsiTheme="majorBidi" w:cstheme="majorBidi"/>
          <w:sz w:val="24"/>
          <w:szCs w:val="24"/>
          <w:lang w:bidi="ar-IQ"/>
        </w:rPr>
        <w:t xml:space="preserve">  was shifted to Tasigna because of </w:t>
      </w:r>
      <w:r w:rsidR="00B8691D" w:rsidRPr="009967AA">
        <w:rPr>
          <w:rFonts w:asciiTheme="majorBidi" w:hAnsiTheme="majorBidi" w:cstheme="majorBidi"/>
          <w:sz w:val="24"/>
          <w:szCs w:val="24"/>
          <w:lang w:bidi="ar-IQ"/>
        </w:rPr>
        <w:t xml:space="preserve">no or </w:t>
      </w:r>
      <w:r w:rsidR="00B97CC0" w:rsidRPr="009967AA">
        <w:rPr>
          <w:rFonts w:asciiTheme="majorBidi" w:hAnsiTheme="majorBidi" w:cstheme="majorBidi"/>
          <w:sz w:val="24"/>
          <w:szCs w:val="24"/>
          <w:lang w:bidi="ar-IQ"/>
        </w:rPr>
        <w:t>failure of molecular</w:t>
      </w:r>
      <w:r w:rsidRPr="009967AA">
        <w:rPr>
          <w:rFonts w:asciiTheme="majorBidi" w:hAnsiTheme="majorBidi" w:cstheme="majorBidi"/>
          <w:sz w:val="24"/>
          <w:szCs w:val="24"/>
          <w:lang w:bidi="ar-IQ"/>
        </w:rPr>
        <w:t xml:space="preserve"> response.</w:t>
      </w:r>
    </w:p>
    <w:p w:rsidR="009725BD" w:rsidRPr="009967AA" w:rsidRDefault="009725BD" w:rsidP="009967AA">
      <w:pPr>
        <w:bidi w:val="0"/>
        <w:spacing w:after="0" w:line="240" w:lineRule="auto"/>
        <w:jc w:val="both"/>
        <w:rPr>
          <w:rFonts w:asciiTheme="majorBidi" w:hAnsiTheme="majorBidi" w:cstheme="majorBidi"/>
          <w:sz w:val="24"/>
          <w:szCs w:val="24"/>
          <w:vertAlign w:val="superscript"/>
          <w:lang w:bidi="ar-IQ"/>
        </w:rPr>
      </w:pPr>
      <w:r w:rsidRPr="009967AA">
        <w:rPr>
          <w:rFonts w:asciiTheme="majorBidi" w:hAnsiTheme="majorBidi" w:cstheme="majorBidi"/>
          <w:sz w:val="24"/>
          <w:szCs w:val="24"/>
          <w:lang w:bidi="ar-IQ"/>
        </w:rPr>
        <w:t xml:space="preserve">The chronic phase was defined according to </w:t>
      </w:r>
      <w:r w:rsidR="003F5A5D" w:rsidRPr="009967AA">
        <w:rPr>
          <w:rFonts w:asciiTheme="majorBidi" w:hAnsiTheme="majorBidi" w:cstheme="majorBidi"/>
          <w:sz w:val="24"/>
          <w:szCs w:val="24"/>
          <w:lang w:bidi="ar-IQ"/>
        </w:rPr>
        <w:t xml:space="preserve">the </w:t>
      </w:r>
      <w:r w:rsidRPr="009967AA">
        <w:rPr>
          <w:rFonts w:asciiTheme="majorBidi" w:hAnsiTheme="majorBidi" w:cstheme="majorBidi"/>
          <w:sz w:val="24"/>
          <w:szCs w:val="24"/>
          <w:lang w:bidi="ar-IQ"/>
        </w:rPr>
        <w:t>criteria recommended by WHO</w:t>
      </w:r>
      <w:r w:rsidR="00353DDA" w:rsidRPr="009967AA">
        <w:rPr>
          <w:rFonts w:asciiTheme="majorBidi" w:hAnsiTheme="majorBidi" w:cstheme="majorBidi"/>
          <w:sz w:val="24"/>
          <w:szCs w:val="24"/>
          <w:lang w:bidi="ar-IQ"/>
        </w:rPr>
        <w:t>[8]</w:t>
      </w:r>
      <w:r w:rsidRPr="009967AA">
        <w:rPr>
          <w:rFonts w:asciiTheme="majorBidi" w:hAnsiTheme="majorBidi" w:cstheme="majorBidi"/>
          <w:sz w:val="24"/>
          <w:szCs w:val="24"/>
          <w:lang w:bidi="ar-IQ"/>
        </w:rPr>
        <w:t>.</w:t>
      </w:r>
      <w:r w:rsidR="003F5A5D" w:rsidRPr="009967AA">
        <w:rPr>
          <w:rFonts w:asciiTheme="majorBidi" w:hAnsiTheme="majorBidi" w:cstheme="majorBidi"/>
          <w:sz w:val="24"/>
          <w:szCs w:val="24"/>
          <w:lang w:bidi="ar-IQ"/>
        </w:rPr>
        <w:t xml:space="preserve"> Response criteria were adapted</w:t>
      </w:r>
      <w:r w:rsidRPr="009967AA">
        <w:rPr>
          <w:rFonts w:asciiTheme="majorBidi" w:hAnsiTheme="majorBidi" w:cstheme="majorBidi"/>
          <w:sz w:val="24"/>
          <w:szCs w:val="24"/>
          <w:lang w:bidi="ar-IQ"/>
        </w:rPr>
        <w:t xml:space="preserve"> from the National</w:t>
      </w:r>
      <w:r w:rsidR="0014379D">
        <w:rPr>
          <w:rFonts w:asciiTheme="majorBidi" w:hAnsiTheme="majorBidi" w:cstheme="majorBidi"/>
          <w:sz w:val="24"/>
          <w:szCs w:val="24"/>
          <w:lang w:bidi="ar-IQ"/>
        </w:rPr>
        <w:t xml:space="preserve"> Comprehensive Cancer Networks (</w:t>
      </w:r>
      <w:r w:rsidRPr="009967AA">
        <w:rPr>
          <w:rFonts w:asciiTheme="majorBidi" w:hAnsiTheme="majorBidi" w:cstheme="majorBidi"/>
          <w:sz w:val="24"/>
          <w:szCs w:val="24"/>
          <w:lang w:bidi="ar-IQ"/>
        </w:rPr>
        <w:t>NCCN) clinical practice guidelines</w:t>
      </w:r>
      <w:r w:rsidR="00353DDA" w:rsidRPr="009967AA">
        <w:rPr>
          <w:rFonts w:asciiTheme="majorBidi" w:hAnsiTheme="majorBidi" w:cstheme="majorBidi"/>
          <w:sz w:val="24"/>
          <w:szCs w:val="24"/>
          <w:lang w:bidi="ar-IQ"/>
        </w:rPr>
        <w:t xml:space="preserve"> [9]</w:t>
      </w:r>
      <w:r w:rsidRPr="009967AA">
        <w:rPr>
          <w:rFonts w:asciiTheme="majorBidi" w:hAnsiTheme="majorBidi" w:cstheme="majorBidi"/>
          <w:sz w:val="24"/>
          <w:szCs w:val="24"/>
          <w:lang w:bidi="ar-IQ"/>
        </w:rPr>
        <w:t>.</w:t>
      </w:r>
    </w:p>
    <w:p w:rsidR="009725BD" w:rsidRPr="009967AA" w:rsidRDefault="009725BD"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Complete hematological response was defined as a white blood cell count less than 10 x 10</w:t>
      </w:r>
      <w:r w:rsidRPr="009967AA">
        <w:rPr>
          <w:rFonts w:asciiTheme="majorBidi" w:hAnsiTheme="majorBidi" w:cstheme="majorBidi"/>
          <w:sz w:val="24"/>
          <w:szCs w:val="24"/>
          <w:vertAlign w:val="superscript"/>
          <w:lang w:bidi="ar-IQ"/>
        </w:rPr>
        <w:t>9</w:t>
      </w:r>
      <w:r w:rsidR="0014379D">
        <w:rPr>
          <w:rFonts w:asciiTheme="majorBidi" w:hAnsiTheme="majorBidi" w:cstheme="majorBidi"/>
          <w:sz w:val="24"/>
          <w:szCs w:val="24"/>
          <w:lang w:bidi="ar-IQ"/>
        </w:rPr>
        <w:t>/L without immature cells</w:t>
      </w:r>
      <w:r w:rsidRPr="009967AA">
        <w:rPr>
          <w:rFonts w:asciiTheme="majorBidi" w:hAnsiTheme="majorBidi" w:cstheme="majorBidi"/>
          <w:sz w:val="24"/>
          <w:szCs w:val="24"/>
          <w:lang w:bidi="ar-IQ"/>
        </w:rPr>
        <w:t xml:space="preserve">, with </w:t>
      </w:r>
      <w:r w:rsidR="00E32737" w:rsidRPr="009967AA">
        <w:rPr>
          <w:rFonts w:asciiTheme="majorBidi" w:hAnsiTheme="majorBidi" w:cstheme="majorBidi"/>
          <w:sz w:val="24"/>
          <w:szCs w:val="24"/>
          <w:lang w:bidi="ar-IQ"/>
        </w:rPr>
        <w:t>less than 5% basophils, and a platelet count less than 450 x 10</w:t>
      </w:r>
      <w:r w:rsidR="00E32737" w:rsidRPr="009967AA">
        <w:rPr>
          <w:rFonts w:asciiTheme="majorBidi" w:hAnsiTheme="majorBidi" w:cstheme="majorBidi"/>
          <w:sz w:val="24"/>
          <w:szCs w:val="24"/>
          <w:vertAlign w:val="superscript"/>
          <w:lang w:bidi="ar-IQ"/>
        </w:rPr>
        <w:t>9</w:t>
      </w:r>
      <w:r w:rsidR="00E32737" w:rsidRPr="009967AA">
        <w:rPr>
          <w:rFonts w:asciiTheme="majorBidi" w:hAnsiTheme="majorBidi" w:cstheme="majorBidi"/>
          <w:sz w:val="24"/>
          <w:szCs w:val="24"/>
          <w:lang w:bidi="ar-IQ"/>
        </w:rPr>
        <w:t xml:space="preserve">/L with no organomegaly. </w:t>
      </w:r>
    </w:p>
    <w:p w:rsidR="00E32737" w:rsidRPr="009967AA" w:rsidRDefault="00E32737" w:rsidP="009967AA">
      <w:pPr>
        <w:bidi w:val="0"/>
        <w:spacing w:after="0" w:line="240" w:lineRule="auto"/>
        <w:jc w:val="both"/>
        <w:rPr>
          <w:rFonts w:asciiTheme="majorBidi" w:hAnsiTheme="majorBidi" w:cstheme="majorBidi"/>
          <w:sz w:val="24"/>
          <w:szCs w:val="24"/>
          <w:rtl/>
          <w:lang w:bidi="ar-IQ"/>
        </w:rPr>
      </w:pPr>
      <w:r w:rsidRPr="009967AA">
        <w:rPr>
          <w:rFonts w:asciiTheme="majorBidi" w:hAnsiTheme="majorBidi" w:cstheme="majorBidi"/>
          <w:sz w:val="24"/>
          <w:szCs w:val="24"/>
          <w:lang w:bidi="ar-IQ"/>
        </w:rPr>
        <w:t xml:space="preserve">Cytogenetic response was assessed according to FISH analysis and categorized as complete (absence of Ph positive cells), </w:t>
      </w:r>
      <w:r w:rsidRPr="009967AA">
        <w:rPr>
          <w:rFonts w:asciiTheme="majorBidi" w:hAnsiTheme="majorBidi" w:cstheme="majorBidi"/>
          <w:sz w:val="24"/>
          <w:szCs w:val="24"/>
          <w:lang w:bidi="ar-IQ"/>
        </w:rPr>
        <w:lastRenderedPageBreak/>
        <w:t>partial (1%-35% Ph positive cells), minor (36-65% Ph positive cells), minimal (66-95% Ph po</w:t>
      </w:r>
      <w:r w:rsidR="0014379D">
        <w:rPr>
          <w:rFonts w:asciiTheme="majorBidi" w:hAnsiTheme="majorBidi" w:cstheme="majorBidi"/>
          <w:sz w:val="24"/>
          <w:szCs w:val="24"/>
          <w:lang w:bidi="ar-IQ"/>
        </w:rPr>
        <w:t>sitive cells), or no response (</w:t>
      </w:r>
      <w:r w:rsidRPr="009967AA">
        <w:rPr>
          <w:rFonts w:asciiTheme="majorBidi" w:hAnsiTheme="majorBidi" w:cstheme="majorBidi"/>
          <w:sz w:val="24"/>
          <w:szCs w:val="24"/>
          <w:lang w:bidi="ar-IQ"/>
        </w:rPr>
        <w:t>more than 95% Ph positive cells)</w:t>
      </w:r>
      <w:r w:rsidR="00353DDA" w:rsidRPr="009967AA">
        <w:rPr>
          <w:rFonts w:asciiTheme="majorBidi" w:hAnsiTheme="majorBidi" w:cstheme="majorBidi"/>
          <w:sz w:val="24"/>
          <w:szCs w:val="24"/>
          <w:lang w:bidi="ar-IQ"/>
        </w:rPr>
        <w:t xml:space="preserve"> [10]</w:t>
      </w:r>
      <w:r w:rsidRPr="009967AA">
        <w:rPr>
          <w:rFonts w:asciiTheme="majorBidi" w:hAnsiTheme="majorBidi" w:cstheme="majorBidi"/>
          <w:sz w:val="24"/>
          <w:szCs w:val="24"/>
          <w:lang w:bidi="ar-IQ"/>
        </w:rPr>
        <w:t>.</w:t>
      </w:r>
    </w:p>
    <w:p w:rsidR="006F14C7" w:rsidRPr="009967AA" w:rsidRDefault="006F14C7" w:rsidP="009967AA">
      <w:pPr>
        <w:bidi w:val="0"/>
        <w:spacing w:after="0" w:line="240" w:lineRule="auto"/>
        <w:jc w:val="both"/>
        <w:rPr>
          <w:rFonts w:asciiTheme="majorBidi" w:hAnsiTheme="majorBidi" w:cstheme="majorBidi"/>
          <w:sz w:val="24"/>
          <w:szCs w:val="24"/>
          <w:rtl/>
          <w:lang w:bidi="ar-IQ"/>
        </w:rPr>
      </w:pPr>
      <w:r w:rsidRPr="009967AA">
        <w:rPr>
          <w:rFonts w:asciiTheme="majorBidi" w:hAnsiTheme="majorBidi" w:cstheme="majorBidi"/>
          <w:sz w:val="24"/>
          <w:szCs w:val="24"/>
          <w:lang w:bidi="ar-IQ"/>
        </w:rPr>
        <w:t>All patients were proved to be Ph positive through fluorescence in sit</w:t>
      </w:r>
      <w:r w:rsidR="0014379D">
        <w:rPr>
          <w:rFonts w:asciiTheme="majorBidi" w:hAnsiTheme="majorBidi" w:cstheme="majorBidi"/>
          <w:sz w:val="24"/>
          <w:szCs w:val="24"/>
          <w:lang w:bidi="ar-IQ"/>
        </w:rPr>
        <w:t>u hybridization (FISH) analysis</w:t>
      </w:r>
      <w:r w:rsidRPr="009967AA">
        <w:rPr>
          <w:rFonts w:asciiTheme="majorBidi" w:hAnsiTheme="majorBidi" w:cstheme="majorBidi"/>
          <w:sz w:val="24"/>
          <w:szCs w:val="24"/>
          <w:lang w:bidi="ar-IQ"/>
        </w:rPr>
        <w:t xml:space="preserve">, or p210 BCR/ABL </w:t>
      </w:r>
      <w:r w:rsidRPr="009967AA">
        <w:rPr>
          <w:rFonts w:asciiTheme="majorBidi" w:hAnsiTheme="majorBidi" w:cstheme="majorBidi"/>
          <w:sz w:val="24"/>
          <w:szCs w:val="24"/>
          <w:lang w:bidi="ar-IQ"/>
        </w:rPr>
        <w:lastRenderedPageBreak/>
        <w:t>transcript positive done via RT-PCR assay of peripheral blood or bone marrow aspirate samples</w:t>
      </w:r>
      <w:r w:rsidR="00A234A7" w:rsidRPr="009967AA">
        <w:rPr>
          <w:rFonts w:asciiTheme="majorBidi" w:hAnsiTheme="majorBidi" w:cstheme="majorBidi"/>
          <w:sz w:val="24"/>
          <w:szCs w:val="24"/>
          <w:lang w:bidi="ar-IQ"/>
        </w:rPr>
        <w:t>.</w:t>
      </w:r>
    </w:p>
    <w:p w:rsidR="00B4229B" w:rsidRPr="009967AA" w:rsidRDefault="000C2558"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The 2013 EL</w:t>
      </w:r>
      <w:r w:rsidR="003F5A5D" w:rsidRPr="009967AA">
        <w:rPr>
          <w:rFonts w:asciiTheme="majorBidi" w:hAnsiTheme="majorBidi" w:cstheme="majorBidi"/>
          <w:sz w:val="24"/>
          <w:szCs w:val="24"/>
          <w:lang w:bidi="ar-IQ"/>
        </w:rPr>
        <w:t xml:space="preserve">N Recommendations support changing </w:t>
      </w:r>
      <w:r w:rsidRPr="009967AA">
        <w:rPr>
          <w:rFonts w:asciiTheme="majorBidi" w:hAnsiTheme="majorBidi" w:cstheme="majorBidi"/>
          <w:sz w:val="24"/>
          <w:szCs w:val="24"/>
          <w:lang w:bidi="ar-IQ"/>
        </w:rPr>
        <w:t xml:space="preserve"> to second generation T</w:t>
      </w:r>
      <w:r w:rsidR="003F5A5D" w:rsidRPr="009967AA">
        <w:rPr>
          <w:rFonts w:asciiTheme="majorBidi" w:hAnsiTheme="majorBidi" w:cstheme="majorBidi"/>
          <w:sz w:val="24"/>
          <w:szCs w:val="24"/>
          <w:lang w:bidi="ar-IQ"/>
        </w:rPr>
        <w:t xml:space="preserve">yrosine </w:t>
      </w:r>
      <w:r w:rsidRPr="009967AA">
        <w:rPr>
          <w:rFonts w:asciiTheme="majorBidi" w:hAnsiTheme="majorBidi" w:cstheme="majorBidi"/>
          <w:sz w:val="24"/>
          <w:szCs w:val="24"/>
          <w:lang w:bidi="ar-IQ"/>
        </w:rPr>
        <w:t>K</w:t>
      </w:r>
      <w:r w:rsidR="003F5A5D" w:rsidRPr="009967AA">
        <w:rPr>
          <w:rFonts w:asciiTheme="majorBidi" w:hAnsiTheme="majorBidi" w:cstheme="majorBidi"/>
          <w:sz w:val="24"/>
          <w:szCs w:val="24"/>
          <w:lang w:bidi="ar-IQ"/>
        </w:rPr>
        <w:t xml:space="preserve">inase </w:t>
      </w:r>
      <w:r w:rsidRPr="009967AA">
        <w:rPr>
          <w:rFonts w:asciiTheme="majorBidi" w:hAnsiTheme="majorBidi" w:cstheme="majorBidi"/>
          <w:sz w:val="24"/>
          <w:szCs w:val="24"/>
          <w:lang w:bidi="ar-IQ"/>
        </w:rPr>
        <w:t>I</w:t>
      </w:r>
      <w:r w:rsidR="003F5A5D" w:rsidRPr="009967AA">
        <w:rPr>
          <w:rFonts w:asciiTheme="majorBidi" w:hAnsiTheme="majorBidi" w:cstheme="majorBidi"/>
          <w:sz w:val="24"/>
          <w:szCs w:val="24"/>
          <w:lang w:bidi="ar-IQ"/>
        </w:rPr>
        <w:t>nhibitor</w:t>
      </w:r>
      <w:r w:rsidRPr="009967AA">
        <w:rPr>
          <w:rFonts w:asciiTheme="majorBidi" w:hAnsiTheme="majorBidi" w:cstheme="majorBidi"/>
          <w:sz w:val="24"/>
          <w:szCs w:val="24"/>
          <w:lang w:bidi="ar-IQ"/>
        </w:rPr>
        <w:t xml:space="preserve">s </w:t>
      </w:r>
      <w:r w:rsidR="00117ADD" w:rsidRPr="009967AA">
        <w:rPr>
          <w:rFonts w:asciiTheme="majorBidi" w:hAnsiTheme="majorBidi" w:cstheme="majorBidi"/>
          <w:sz w:val="24"/>
          <w:szCs w:val="24"/>
          <w:lang w:bidi="ar-IQ"/>
        </w:rPr>
        <w:t>for patients with treatment fail</w:t>
      </w:r>
      <w:r w:rsidR="00A97C66" w:rsidRPr="009967AA">
        <w:rPr>
          <w:rFonts w:asciiTheme="majorBidi" w:hAnsiTheme="majorBidi" w:cstheme="majorBidi"/>
          <w:sz w:val="24"/>
          <w:szCs w:val="24"/>
          <w:lang w:bidi="ar-IQ"/>
        </w:rPr>
        <w:t>ure.</w:t>
      </w:r>
    </w:p>
    <w:p w:rsidR="001F4A25" w:rsidRDefault="001F4A25" w:rsidP="009967AA">
      <w:pPr>
        <w:bidi w:val="0"/>
        <w:spacing w:after="0" w:line="240" w:lineRule="auto"/>
        <w:jc w:val="both"/>
        <w:rPr>
          <w:rFonts w:asciiTheme="majorBidi" w:hAnsiTheme="majorBidi" w:cstheme="majorBidi"/>
          <w:sz w:val="24"/>
          <w:szCs w:val="24"/>
          <w:lang w:bidi="ar-IQ"/>
        </w:rPr>
        <w:sectPr w:rsidR="001F4A25" w:rsidSect="006D0966">
          <w:type w:val="continuous"/>
          <w:pgSz w:w="11906" w:h="16838"/>
          <w:pgMar w:top="1090" w:right="1376" w:bottom="1440" w:left="1350" w:header="708" w:footer="708" w:gutter="0"/>
          <w:cols w:num="2" w:space="706"/>
          <w:docGrid w:linePitch="360"/>
        </w:sectPr>
      </w:pPr>
    </w:p>
    <w:p w:rsidR="001F4A25" w:rsidRDefault="001F4A25" w:rsidP="009967AA">
      <w:pPr>
        <w:bidi w:val="0"/>
        <w:spacing w:after="0" w:line="240" w:lineRule="auto"/>
        <w:jc w:val="both"/>
        <w:rPr>
          <w:rFonts w:asciiTheme="majorBidi" w:hAnsiTheme="majorBidi" w:cstheme="majorBidi"/>
          <w:sz w:val="24"/>
          <w:szCs w:val="24"/>
          <w:lang w:bidi="ar-IQ"/>
        </w:rPr>
      </w:pPr>
    </w:p>
    <w:p w:rsidR="008D3D4E" w:rsidRPr="009967AA" w:rsidRDefault="008D3D4E" w:rsidP="001F4A25">
      <w:pPr>
        <w:bidi w:val="0"/>
        <w:spacing w:after="0" w:line="240" w:lineRule="auto"/>
        <w:jc w:val="both"/>
        <w:rPr>
          <w:rFonts w:asciiTheme="majorBidi" w:hAnsiTheme="majorBidi" w:cstheme="majorBidi"/>
          <w:sz w:val="24"/>
          <w:szCs w:val="24"/>
          <w:lang w:bidi="ar-IQ"/>
        </w:rPr>
      </w:pPr>
      <w:r w:rsidRPr="001F4A25">
        <w:rPr>
          <w:rFonts w:asciiTheme="majorBidi" w:hAnsiTheme="majorBidi" w:cstheme="majorBidi"/>
          <w:b/>
          <w:bCs/>
          <w:sz w:val="24"/>
          <w:szCs w:val="24"/>
          <w:u w:val="single"/>
          <w:lang w:bidi="ar-IQ"/>
        </w:rPr>
        <w:t>Table 1</w:t>
      </w:r>
      <w:r w:rsidR="001F4A25" w:rsidRPr="001F4A25">
        <w:rPr>
          <w:rFonts w:asciiTheme="majorBidi" w:hAnsiTheme="majorBidi" w:cstheme="majorBidi"/>
          <w:b/>
          <w:bCs/>
          <w:sz w:val="24"/>
          <w:szCs w:val="24"/>
          <w:u w:val="single"/>
          <w:lang w:bidi="ar-IQ"/>
        </w:rPr>
        <w:t>:</w:t>
      </w:r>
      <w:r w:rsidRPr="009967AA">
        <w:rPr>
          <w:rFonts w:asciiTheme="majorBidi" w:hAnsiTheme="majorBidi" w:cstheme="majorBidi"/>
          <w:sz w:val="24"/>
          <w:szCs w:val="24"/>
          <w:lang w:bidi="ar-IQ"/>
        </w:rPr>
        <w:t>Optimal and Suboptimal Responses to Tyrosine Kinase Inhibitors</w:t>
      </w:r>
    </w:p>
    <w:p w:rsidR="00FF1C02" w:rsidRPr="009967AA" w:rsidRDefault="00FF1C02" w:rsidP="009967AA">
      <w:pPr>
        <w:bidi w:val="0"/>
        <w:spacing w:after="0" w:line="240" w:lineRule="auto"/>
        <w:jc w:val="both"/>
        <w:rPr>
          <w:rFonts w:asciiTheme="majorBidi" w:hAnsiTheme="majorBidi" w:cstheme="majorBidi"/>
          <w:sz w:val="24"/>
          <w:szCs w:val="24"/>
          <w:lang w:bidi="ar-IQ"/>
        </w:rPr>
      </w:pPr>
    </w:p>
    <w:tbl>
      <w:tblPr>
        <w:tblpPr w:leftFromText="180" w:rightFromText="180" w:vertAnchor="text" w:horzAnchor="margin" w:tblpY="1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1F4A25" w:rsidRPr="009967AA" w:rsidTr="0014379D">
        <w:trPr>
          <w:trHeight w:val="564"/>
        </w:trPr>
        <w:tc>
          <w:tcPr>
            <w:tcW w:w="4633" w:type="dxa"/>
          </w:tcPr>
          <w:p w:rsidR="001F4A25" w:rsidRPr="009967AA" w:rsidRDefault="001F4A25" w:rsidP="0014379D">
            <w:pPr>
              <w:bidi w:val="0"/>
              <w:spacing w:after="0" w:line="240" w:lineRule="auto"/>
              <w:jc w:val="center"/>
              <w:rPr>
                <w:rFonts w:asciiTheme="majorBidi" w:hAnsiTheme="majorBidi" w:cstheme="majorBidi"/>
                <w:b/>
                <w:bCs/>
                <w:sz w:val="24"/>
                <w:szCs w:val="24"/>
                <w:rtl/>
                <w:lang w:bidi="ar-IQ"/>
              </w:rPr>
            </w:pPr>
            <w:r w:rsidRPr="009967AA">
              <w:rPr>
                <w:rFonts w:asciiTheme="majorBidi" w:hAnsiTheme="majorBidi" w:cstheme="majorBidi"/>
                <w:b/>
                <w:bCs/>
                <w:sz w:val="24"/>
                <w:szCs w:val="24"/>
                <w:lang w:bidi="ar-IQ"/>
              </w:rPr>
              <w:t>Optimal Responses</w:t>
            </w:r>
          </w:p>
        </w:tc>
      </w:tr>
      <w:tr w:rsidR="001F4A25" w:rsidRPr="009967AA" w:rsidTr="0014379D">
        <w:trPr>
          <w:trHeight w:val="686"/>
        </w:trPr>
        <w:tc>
          <w:tcPr>
            <w:tcW w:w="4633" w:type="dxa"/>
          </w:tcPr>
          <w:p w:rsidR="001F4A25" w:rsidRPr="009967AA" w:rsidRDefault="0014379D" w:rsidP="001F4A25">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3 mon</w:t>
            </w:r>
            <w:r w:rsidR="001F4A25" w:rsidRPr="009967AA">
              <w:rPr>
                <w:rFonts w:asciiTheme="majorBidi" w:hAnsiTheme="majorBidi" w:cstheme="majorBidi"/>
                <w:sz w:val="24"/>
                <w:szCs w:val="24"/>
                <w:lang w:bidi="ar-IQ"/>
              </w:rPr>
              <w:t>:     Ph + ≤ 35% and/or BCR-ABL ≤ 10%</w:t>
            </w:r>
          </w:p>
        </w:tc>
      </w:tr>
      <w:tr w:rsidR="001F4A25" w:rsidRPr="009967AA" w:rsidTr="0014379D">
        <w:trPr>
          <w:trHeight w:val="554"/>
        </w:trPr>
        <w:tc>
          <w:tcPr>
            <w:tcW w:w="4633" w:type="dxa"/>
          </w:tcPr>
          <w:p w:rsidR="001F4A25" w:rsidRPr="009967AA" w:rsidRDefault="0014379D" w:rsidP="001F4A25">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6 mon </w:t>
            </w:r>
            <w:r w:rsidR="001F4A25" w:rsidRPr="009967AA">
              <w:rPr>
                <w:rFonts w:asciiTheme="majorBidi" w:hAnsiTheme="majorBidi" w:cstheme="majorBidi"/>
                <w:sz w:val="24"/>
                <w:szCs w:val="24"/>
                <w:lang w:bidi="ar-IQ"/>
              </w:rPr>
              <w:t xml:space="preserve">:    Ph + 0 % and/or BCR-ABL &lt;  1% </w:t>
            </w:r>
          </w:p>
          <w:p w:rsidR="001F4A25" w:rsidRPr="009967AA" w:rsidRDefault="001F4A25" w:rsidP="001F4A25">
            <w:pPr>
              <w:bidi w:val="0"/>
              <w:spacing w:after="0" w:line="240" w:lineRule="auto"/>
              <w:jc w:val="both"/>
              <w:rPr>
                <w:rFonts w:asciiTheme="majorBidi" w:hAnsiTheme="majorBidi" w:cstheme="majorBidi"/>
                <w:sz w:val="24"/>
                <w:szCs w:val="24"/>
                <w:rtl/>
                <w:lang w:bidi="ar-IQ"/>
              </w:rPr>
            </w:pPr>
          </w:p>
        </w:tc>
      </w:tr>
      <w:tr w:rsidR="001F4A25" w:rsidRPr="009967AA" w:rsidTr="0014379D">
        <w:trPr>
          <w:trHeight w:val="704"/>
        </w:trPr>
        <w:tc>
          <w:tcPr>
            <w:tcW w:w="4633" w:type="dxa"/>
          </w:tcPr>
          <w:p w:rsidR="001F4A25" w:rsidRPr="009967AA" w:rsidRDefault="001F4A25" w:rsidP="001F4A25">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 xml:space="preserve">12 </w:t>
            </w:r>
            <w:r w:rsidR="0014379D">
              <w:rPr>
                <w:rFonts w:asciiTheme="majorBidi" w:hAnsiTheme="majorBidi" w:cstheme="majorBidi"/>
                <w:sz w:val="24"/>
                <w:szCs w:val="24"/>
                <w:lang w:bidi="ar-IQ"/>
              </w:rPr>
              <w:t xml:space="preserve">mon </w:t>
            </w:r>
            <w:r w:rsidRPr="009967AA">
              <w:rPr>
                <w:rFonts w:asciiTheme="majorBidi" w:hAnsiTheme="majorBidi" w:cstheme="majorBidi"/>
                <w:sz w:val="24"/>
                <w:szCs w:val="24"/>
                <w:lang w:bidi="ar-IQ"/>
              </w:rPr>
              <w:t>:    BCR-ABL ≤ 0.1 % (MMR)</w:t>
            </w:r>
          </w:p>
          <w:p w:rsidR="001F4A25" w:rsidRPr="009967AA" w:rsidRDefault="001F4A25" w:rsidP="001F4A25">
            <w:pPr>
              <w:bidi w:val="0"/>
              <w:spacing w:after="0" w:line="240" w:lineRule="auto"/>
              <w:jc w:val="both"/>
              <w:rPr>
                <w:rFonts w:asciiTheme="majorBidi" w:hAnsiTheme="majorBidi" w:cstheme="majorBidi"/>
                <w:sz w:val="24"/>
                <w:szCs w:val="24"/>
                <w:rtl/>
                <w:lang w:bidi="ar-IQ"/>
              </w:rPr>
            </w:pPr>
          </w:p>
          <w:p w:rsidR="001F4A25" w:rsidRPr="009967AA" w:rsidRDefault="001F4A25" w:rsidP="001F4A25">
            <w:pPr>
              <w:bidi w:val="0"/>
              <w:spacing w:after="0" w:line="240" w:lineRule="auto"/>
              <w:jc w:val="both"/>
              <w:rPr>
                <w:rFonts w:asciiTheme="majorBidi" w:hAnsiTheme="majorBidi" w:cstheme="majorBidi"/>
                <w:sz w:val="24"/>
                <w:szCs w:val="24"/>
                <w:rtl/>
                <w:lang w:bidi="ar-IQ"/>
              </w:rPr>
            </w:pPr>
          </w:p>
        </w:tc>
      </w:tr>
      <w:tr w:rsidR="001F4A25" w:rsidRPr="009967AA" w:rsidTr="0014379D">
        <w:trPr>
          <w:trHeight w:val="899"/>
        </w:trPr>
        <w:tc>
          <w:tcPr>
            <w:tcW w:w="4633" w:type="dxa"/>
          </w:tcPr>
          <w:p w:rsidR="001F4A25" w:rsidRPr="009967AA" w:rsidRDefault="001F4A25" w:rsidP="001F4A25">
            <w:pPr>
              <w:bidi w:val="0"/>
              <w:spacing w:after="0" w:line="240" w:lineRule="auto"/>
              <w:jc w:val="both"/>
              <w:rPr>
                <w:rFonts w:asciiTheme="majorBidi" w:hAnsiTheme="majorBidi" w:cstheme="majorBidi"/>
                <w:sz w:val="24"/>
                <w:szCs w:val="24"/>
                <w:rtl/>
                <w:lang w:bidi="ar-IQ"/>
              </w:rPr>
            </w:pPr>
            <w:r w:rsidRPr="009967AA">
              <w:rPr>
                <w:rFonts w:asciiTheme="majorBidi" w:hAnsiTheme="majorBidi" w:cstheme="majorBidi"/>
                <w:sz w:val="24"/>
                <w:szCs w:val="24"/>
                <w:lang w:bidi="ar-IQ"/>
              </w:rPr>
              <w:t>At any time  :    BCR-ABL ≤ 0.1 % (MMR) (MMR  : Major molecular response)</w:t>
            </w:r>
          </w:p>
        </w:tc>
      </w:tr>
    </w:tbl>
    <w:tbl>
      <w:tblPr>
        <w:tblpPr w:leftFromText="180" w:rightFromText="180" w:vertAnchor="text" w:horzAnchor="margin" w:tblpXSpec="right" w:tblpY="204"/>
        <w:bidiVisual/>
        <w:tblW w:w="3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1"/>
      </w:tblGrid>
      <w:tr w:rsidR="001F4A25" w:rsidRPr="009967AA" w:rsidTr="0014379D">
        <w:trPr>
          <w:trHeight w:val="559"/>
        </w:trPr>
        <w:tc>
          <w:tcPr>
            <w:tcW w:w="3871" w:type="dxa"/>
          </w:tcPr>
          <w:p w:rsidR="001F4A25" w:rsidRPr="0014379D" w:rsidRDefault="001F4A25" w:rsidP="0014379D">
            <w:pPr>
              <w:bidi w:val="0"/>
              <w:spacing w:after="0" w:line="240" w:lineRule="auto"/>
              <w:jc w:val="center"/>
              <w:rPr>
                <w:rFonts w:asciiTheme="majorBidi" w:hAnsiTheme="majorBidi" w:cstheme="majorBidi"/>
                <w:b/>
                <w:bCs/>
                <w:sz w:val="24"/>
                <w:szCs w:val="24"/>
                <w:rtl/>
                <w:lang w:bidi="ar-IQ"/>
              </w:rPr>
            </w:pPr>
            <w:r w:rsidRPr="009967AA">
              <w:rPr>
                <w:rFonts w:asciiTheme="majorBidi" w:hAnsiTheme="majorBidi" w:cstheme="majorBidi"/>
                <w:b/>
                <w:bCs/>
                <w:sz w:val="24"/>
                <w:szCs w:val="24"/>
                <w:lang w:bidi="ar-IQ"/>
              </w:rPr>
              <w:t>Suboptimal Response</w:t>
            </w:r>
          </w:p>
        </w:tc>
      </w:tr>
      <w:tr w:rsidR="001F4A25" w:rsidRPr="009967AA" w:rsidTr="0014379D">
        <w:trPr>
          <w:trHeight w:val="695"/>
        </w:trPr>
        <w:tc>
          <w:tcPr>
            <w:tcW w:w="3871" w:type="dxa"/>
          </w:tcPr>
          <w:p w:rsidR="001F4A25" w:rsidRPr="009967AA" w:rsidRDefault="0014379D" w:rsidP="001F4A25">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3 mon </w:t>
            </w:r>
            <w:r w:rsidR="001F4A25" w:rsidRPr="009967AA">
              <w:rPr>
                <w:rFonts w:asciiTheme="majorBidi" w:hAnsiTheme="majorBidi" w:cstheme="majorBidi"/>
                <w:sz w:val="24"/>
                <w:szCs w:val="24"/>
                <w:lang w:bidi="ar-IQ"/>
              </w:rPr>
              <w:t>:    No Cytogenetic response</w:t>
            </w:r>
          </w:p>
          <w:p w:rsidR="001F4A25" w:rsidRPr="009967AA" w:rsidRDefault="001F4A25" w:rsidP="001F4A25">
            <w:pPr>
              <w:bidi w:val="0"/>
              <w:spacing w:after="0" w:line="240" w:lineRule="auto"/>
              <w:jc w:val="both"/>
              <w:rPr>
                <w:rFonts w:asciiTheme="majorBidi" w:hAnsiTheme="majorBidi" w:cstheme="majorBidi"/>
                <w:sz w:val="24"/>
                <w:szCs w:val="24"/>
                <w:lang w:bidi="ar-IQ"/>
              </w:rPr>
            </w:pPr>
          </w:p>
        </w:tc>
      </w:tr>
      <w:tr w:rsidR="001F4A25" w:rsidRPr="009967AA" w:rsidTr="0014379D">
        <w:trPr>
          <w:trHeight w:val="705"/>
        </w:trPr>
        <w:tc>
          <w:tcPr>
            <w:tcW w:w="3871" w:type="dxa"/>
          </w:tcPr>
          <w:p w:rsidR="001F4A25" w:rsidRPr="009967AA" w:rsidRDefault="0014379D" w:rsidP="001F4A25">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6 mon</w:t>
            </w:r>
            <w:r w:rsidR="001F4A25" w:rsidRPr="009967AA">
              <w:rPr>
                <w:rFonts w:asciiTheme="majorBidi" w:hAnsiTheme="majorBidi" w:cstheme="majorBidi"/>
                <w:sz w:val="24"/>
                <w:szCs w:val="24"/>
                <w:lang w:bidi="ar-IQ"/>
              </w:rPr>
              <w:t>:   &lt; Partial Cytogenetic response</w:t>
            </w:r>
          </w:p>
        </w:tc>
      </w:tr>
      <w:tr w:rsidR="001F4A25" w:rsidRPr="009967AA" w:rsidTr="001F4A25">
        <w:trPr>
          <w:trHeight w:val="431"/>
        </w:trPr>
        <w:tc>
          <w:tcPr>
            <w:tcW w:w="3871" w:type="dxa"/>
          </w:tcPr>
          <w:p w:rsidR="001F4A25" w:rsidRPr="009967AA" w:rsidRDefault="0014379D" w:rsidP="001F4A25">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12 mon</w:t>
            </w:r>
            <w:r w:rsidR="001F4A25" w:rsidRPr="009967AA">
              <w:rPr>
                <w:rFonts w:asciiTheme="majorBidi" w:hAnsiTheme="majorBidi" w:cstheme="majorBidi"/>
                <w:sz w:val="24"/>
                <w:szCs w:val="24"/>
                <w:lang w:bidi="ar-IQ"/>
              </w:rPr>
              <w:t>:    Partial Cytogenetic response</w:t>
            </w:r>
          </w:p>
        </w:tc>
      </w:tr>
      <w:tr w:rsidR="001F4A25" w:rsidRPr="009967AA" w:rsidTr="001F4A25">
        <w:trPr>
          <w:trHeight w:val="425"/>
        </w:trPr>
        <w:tc>
          <w:tcPr>
            <w:tcW w:w="3871" w:type="dxa"/>
          </w:tcPr>
          <w:p w:rsidR="001F4A25" w:rsidRPr="009967AA" w:rsidRDefault="0014379D" w:rsidP="001F4A25">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18  months</w:t>
            </w:r>
            <w:r w:rsidR="001F4A25" w:rsidRPr="009967AA">
              <w:rPr>
                <w:rFonts w:asciiTheme="majorBidi" w:hAnsiTheme="majorBidi" w:cstheme="majorBidi"/>
                <w:sz w:val="24"/>
                <w:szCs w:val="24"/>
                <w:lang w:bidi="ar-IQ"/>
              </w:rPr>
              <w:t xml:space="preserve">:   &lt;  Major molecular response </w:t>
            </w:r>
          </w:p>
        </w:tc>
      </w:tr>
      <w:tr w:rsidR="001F4A25" w:rsidRPr="009967AA" w:rsidTr="0014379D">
        <w:trPr>
          <w:trHeight w:val="977"/>
        </w:trPr>
        <w:tc>
          <w:tcPr>
            <w:tcW w:w="3871" w:type="dxa"/>
          </w:tcPr>
          <w:p w:rsidR="001F4A25" w:rsidRPr="009967AA" w:rsidRDefault="0014379D" w:rsidP="001F4A25">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At any time</w:t>
            </w:r>
            <w:r w:rsidR="001F4A25" w:rsidRPr="009967AA">
              <w:rPr>
                <w:rFonts w:asciiTheme="majorBidi" w:hAnsiTheme="majorBidi" w:cstheme="majorBidi"/>
                <w:sz w:val="24"/>
                <w:szCs w:val="24"/>
                <w:lang w:bidi="ar-IQ"/>
              </w:rPr>
              <w:t xml:space="preserve">:    Loss of CCYR, Clonal chromosomal abnormality, confirmed loss of MMR, or new mutation [11]. </w:t>
            </w:r>
          </w:p>
        </w:tc>
      </w:tr>
    </w:tbl>
    <w:p w:rsidR="00FF1C02" w:rsidRPr="009967AA" w:rsidRDefault="00FF1C02" w:rsidP="009967AA">
      <w:pPr>
        <w:bidi w:val="0"/>
        <w:spacing w:after="0" w:line="240" w:lineRule="auto"/>
        <w:jc w:val="both"/>
        <w:rPr>
          <w:rFonts w:asciiTheme="majorBidi" w:hAnsiTheme="majorBidi" w:cstheme="majorBidi"/>
          <w:sz w:val="24"/>
          <w:szCs w:val="24"/>
          <w:lang w:bidi="ar-IQ"/>
        </w:rPr>
      </w:pPr>
    </w:p>
    <w:p w:rsidR="00FF1C02" w:rsidRPr="009967AA" w:rsidRDefault="00FF1C02" w:rsidP="009967AA">
      <w:pPr>
        <w:bidi w:val="0"/>
        <w:spacing w:after="0" w:line="240" w:lineRule="auto"/>
        <w:jc w:val="both"/>
        <w:rPr>
          <w:rFonts w:asciiTheme="majorBidi" w:hAnsiTheme="majorBidi" w:cstheme="majorBidi"/>
          <w:sz w:val="24"/>
          <w:szCs w:val="24"/>
          <w:lang w:bidi="ar-IQ"/>
        </w:rPr>
      </w:pPr>
    </w:p>
    <w:p w:rsidR="00FF1C02" w:rsidRPr="009967AA" w:rsidRDefault="00FF1C02" w:rsidP="009967AA">
      <w:pPr>
        <w:bidi w:val="0"/>
        <w:spacing w:after="0" w:line="240" w:lineRule="auto"/>
        <w:jc w:val="both"/>
        <w:rPr>
          <w:rFonts w:asciiTheme="majorBidi" w:hAnsiTheme="majorBidi" w:cstheme="majorBidi"/>
          <w:sz w:val="24"/>
          <w:szCs w:val="24"/>
          <w:lang w:bidi="ar-IQ"/>
        </w:rPr>
      </w:pPr>
    </w:p>
    <w:p w:rsidR="00FF1C02" w:rsidRPr="009967AA" w:rsidRDefault="00FF1C02" w:rsidP="009967AA">
      <w:pPr>
        <w:bidi w:val="0"/>
        <w:spacing w:after="0" w:line="240" w:lineRule="auto"/>
        <w:jc w:val="both"/>
        <w:rPr>
          <w:rFonts w:asciiTheme="majorBidi" w:hAnsiTheme="majorBidi" w:cstheme="majorBidi"/>
          <w:sz w:val="24"/>
          <w:szCs w:val="24"/>
          <w:lang w:bidi="ar-IQ"/>
        </w:rPr>
      </w:pPr>
    </w:p>
    <w:p w:rsidR="001F4A25" w:rsidRDefault="001F4A25" w:rsidP="009967AA">
      <w:pPr>
        <w:bidi w:val="0"/>
        <w:spacing w:after="0" w:line="240" w:lineRule="auto"/>
        <w:jc w:val="both"/>
        <w:rPr>
          <w:rFonts w:asciiTheme="majorBidi" w:hAnsiTheme="majorBidi" w:cstheme="majorBidi"/>
          <w:sz w:val="24"/>
          <w:szCs w:val="24"/>
          <w:lang w:bidi="ar-IQ"/>
        </w:rPr>
        <w:sectPr w:rsidR="001F4A25" w:rsidSect="001F4A25">
          <w:type w:val="continuous"/>
          <w:pgSz w:w="11906" w:h="16838"/>
          <w:pgMar w:top="818" w:right="1376" w:bottom="1440" w:left="1350" w:header="708" w:footer="708" w:gutter="0"/>
          <w:cols w:space="708"/>
          <w:docGrid w:linePitch="360"/>
        </w:sectPr>
      </w:pPr>
    </w:p>
    <w:p w:rsidR="00995587" w:rsidRDefault="009C52EF"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lastRenderedPageBreak/>
        <w:t xml:space="preserve">Per </w:t>
      </w:r>
      <w:r w:rsidR="00FF1C02" w:rsidRPr="009967AA">
        <w:rPr>
          <w:rFonts w:asciiTheme="majorBidi" w:hAnsiTheme="majorBidi" w:cstheme="majorBidi"/>
          <w:sz w:val="24"/>
          <w:szCs w:val="24"/>
          <w:lang w:bidi="ar-IQ"/>
        </w:rPr>
        <w:t xml:space="preserve">ELN </w:t>
      </w:r>
      <w:r w:rsidR="0014379D">
        <w:rPr>
          <w:rFonts w:asciiTheme="majorBidi" w:hAnsiTheme="majorBidi" w:cstheme="majorBidi"/>
          <w:sz w:val="24"/>
          <w:szCs w:val="24"/>
          <w:lang w:bidi="ar-IQ"/>
        </w:rPr>
        <w:t>recommendation</w:t>
      </w:r>
      <w:r w:rsidRPr="009967AA">
        <w:rPr>
          <w:rFonts w:asciiTheme="majorBidi" w:hAnsiTheme="majorBidi" w:cstheme="majorBidi"/>
          <w:sz w:val="24"/>
          <w:szCs w:val="24"/>
          <w:lang w:bidi="ar-IQ"/>
        </w:rPr>
        <w:t>, BCR-ABL more than 10% at 6 months  is considered treatment failure and the patient should receive another treatment</w:t>
      </w:r>
      <w:r w:rsidR="00353DDA" w:rsidRPr="009967AA">
        <w:rPr>
          <w:rFonts w:asciiTheme="majorBidi" w:hAnsiTheme="majorBidi" w:cstheme="majorBidi"/>
          <w:sz w:val="24"/>
          <w:szCs w:val="24"/>
          <w:lang w:bidi="ar-IQ"/>
        </w:rPr>
        <w:t>[12]</w:t>
      </w:r>
      <w:r w:rsidRPr="009967AA">
        <w:rPr>
          <w:rFonts w:asciiTheme="majorBidi" w:hAnsiTheme="majorBidi" w:cstheme="majorBidi"/>
          <w:sz w:val="24"/>
          <w:szCs w:val="24"/>
          <w:lang w:bidi="ar-IQ"/>
        </w:rPr>
        <w:t>.</w:t>
      </w:r>
    </w:p>
    <w:p w:rsidR="001F4A25" w:rsidRPr="0014379D" w:rsidRDefault="001F4A25" w:rsidP="001F4A25">
      <w:pPr>
        <w:bidi w:val="0"/>
        <w:spacing w:after="0" w:line="240" w:lineRule="auto"/>
        <w:jc w:val="both"/>
        <w:rPr>
          <w:rFonts w:asciiTheme="majorBidi" w:hAnsiTheme="majorBidi" w:cstheme="majorBidi"/>
          <w:sz w:val="10"/>
          <w:szCs w:val="10"/>
          <w:lang w:bidi="ar-IQ"/>
        </w:rPr>
      </w:pPr>
    </w:p>
    <w:p w:rsidR="00995587" w:rsidRPr="009967AA" w:rsidRDefault="00EB3949" w:rsidP="009967AA">
      <w:pPr>
        <w:bidi w:val="0"/>
        <w:spacing w:after="0" w:line="240" w:lineRule="auto"/>
        <w:jc w:val="both"/>
        <w:rPr>
          <w:rFonts w:asciiTheme="majorBidi" w:hAnsiTheme="majorBidi" w:cstheme="majorBidi"/>
          <w:b/>
          <w:bCs/>
          <w:sz w:val="24"/>
          <w:szCs w:val="24"/>
          <w:u w:val="single"/>
          <w:rtl/>
          <w:lang w:bidi="ar-IQ"/>
        </w:rPr>
      </w:pPr>
      <w:r w:rsidRPr="009967AA">
        <w:rPr>
          <w:rFonts w:asciiTheme="majorBidi" w:hAnsiTheme="majorBidi" w:cstheme="majorBidi"/>
          <w:b/>
          <w:bCs/>
          <w:sz w:val="24"/>
          <w:szCs w:val="24"/>
          <w:u w:val="single"/>
          <w:lang w:bidi="ar-IQ"/>
        </w:rPr>
        <w:t>Results</w:t>
      </w:r>
    </w:p>
    <w:p w:rsidR="00995587" w:rsidRPr="009967AA" w:rsidRDefault="00F72E24" w:rsidP="009967AA">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95587" w:rsidRPr="009967AA">
        <w:rPr>
          <w:rFonts w:asciiTheme="majorBidi" w:hAnsiTheme="majorBidi" w:cstheme="majorBidi"/>
          <w:sz w:val="24"/>
          <w:szCs w:val="24"/>
          <w:lang w:bidi="ar-IQ"/>
        </w:rPr>
        <w:t>The base line characteristic</w:t>
      </w:r>
      <w:r w:rsidR="00A75CD6" w:rsidRPr="009967AA">
        <w:rPr>
          <w:rFonts w:asciiTheme="majorBidi" w:hAnsiTheme="majorBidi" w:cstheme="majorBidi"/>
          <w:sz w:val="24"/>
          <w:szCs w:val="24"/>
          <w:lang w:bidi="ar-IQ"/>
        </w:rPr>
        <w:t>s</w:t>
      </w:r>
      <w:r w:rsidR="00995587" w:rsidRPr="009967AA">
        <w:rPr>
          <w:rFonts w:asciiTheme="majorBidi" w:hAnsiTheme="majorBidi" w:cstheme="majorBidi"/>
          <w:sz w:val="24"/>
          <w:szCs w:val="24"/>
          <w:lang w:bidi="ar-IQ"/>
        </w:rPr>
        <w:t xml:space="preserve"> of </w:t>
      </w:r>
      <w:r w:rsidR="000660A0" w:rsidRPr="009967AA">
        <w:rPr>
          <w:rFonts w:asciiTheme="majorBidi" w:hAnsiTheme="majorBidi" w:cstheme="majorBidi"/>
          <w:sz w:val="24"/>
          <w:szCs w:val="24"/>
          <w:lang w:bidi="ar-IQ"/>
        </w:rPr>
        <w:t xml:space="preserve"> the </w:t>
      </w:r>
      <w:r w:rsidR="00995587" w:rsidRPr="009967AA">
        <w:rPr>
          <w:rFonts w:asciiTheme="majorBidi" w:hAnsiTheme="majorBidi" w:cstheme="majorBidi"/>
          <w:sz w:val="24"/>
          <w:szCs w:val="24"/>
          <w:lang w:bidi="ar-IQ"/>
        </w:rPr>
        <w:t>94 patie</w:t>
      </w:r>
      <w:r w:rsidR="00A75CD6" w:rsidRPr="009967AA">
        <w:rPr>
          <w:rFonts w:asciiTheme="majorBidi" w:hAnsiTheme="majorBidi" w:cstheme="majorBidi"/>
          <w:sz w:val="24"/>
          <w:szCs w:val="24"/>
          <w:lang w:bidi="ar-IQ"/>
        </w:rPr>
        <w:t>n</w:t>
      </w:r>
      <w:r w:rsidR="000660A0" w:rsidRPr="009967AA">
        <w:rPr>
          <w:rFonts w:asciiTheme="majorBidi" w:hAnsiTheme="majorBidi" w:cstheme="majorBidi"/>
          <w:sz w:val="24"/>
          <w:szCs w:val="24"/>
          <w:lang w:bidi="ar-IQ"/>
        </w:rPr>
        <w:t xml:space="preserve">ts enrolled in this study  were </w:t>
      </w:r>
      <w:r w:rsidR="00995587" w:rsidRPr="009967AA">
        <w:rPr>
          <w:rFonts w:asciiTheme="majorBidi" w:hAnsiTheme="majorBidi" w:cstheme="majorBidi"/>
          <w:sz w:val="24"/>
          <w:szCs w:val="24"/>
          <w:lang w:bidi="ar-IQ"/>
        </w:rPr>
        <w:t xml:space="preserve"> 42 male and 52 female with male to femal</w:t>
      </w:r>
      <w:r w:rsidR="00A75CD6" w:rsidRPr="009967AA">
        <w:rPr>
          <w:rFonts w:asciiTheme="majorBidi" w:hAnsiTheme="majorBidi" w:cstheme="majorBidi"/>
          <w:sz w:val="24"/>
          <w:szCs w:val="24"/>
          <w:lang w:bidi="ar-IQ"/>
        </w:rPr>
        <w:t>e</w:t>
      </w:r>
      <w:r w:rsidR="00995587" w:rsidRPr="009967AA">
        <w:rPr>
          <w:rFonts w:asciiTheme="majorBidi" w:hAnsiTheme="majorBidi" w:cstheme="majorBidi"/>
          <w:sz w:val="24"/>
          <w:szCs w:val="24"/>
          <w:lang w:bidi="ar-IQ"/>
        </w:rPr>
        <w:t xml:space="preserve"> ratio </w:t>
      </w:r>
      <w:r w:rsidR="00732F53" w:rsidRPr="009967AA">
        <w:rPr>
          <w:rFonts w:asciiTheme="majorBidi" w:hAnsiTheme="majorBidi" w:cstheme="majorBidi"/>
          <w:sz w:val="24"/>
          <w:szCs w:val="24"/>
          <w:lang w:bidi="ar-IQ"/>
        </w:rPr>
        <w:t>(</w:t>
      </w:r>
      <w:r w:rsidR="00995587" w:rsidRPr="009967AA">
        <w:rPr>
          <w:rFonts w:asciiTheme="majorBidi" w:hAnsiTheme="majorBidi" w:cstheme="majorBidi"/>
          <w:sz w:val="24"/>
          <w:szCs w:val="24"/>
          <w:lang w:bidi="ar-IQ"/>
        </w:rPr>
        <w:t xml:space="preserve">1:1.2). The mean age was 44.7 (ranging from 8 to 85 years), </w:t>
      </w:r>
      <w:r w:rsidR="000660A0" w:rsidRPr="009967AA">
        <w:rPr>
          <w:rFonts w:asciiTheme="majorBidi" w:hAnsiTheme="majorBidi" w:cstheme="majorBidi"/>
          <w:sz w:val="24"/>
          <w:szCs w:val="24"/>
          <w:lang w:bidi="ar-IQ"/>
        </w:rPr>
        <w:t xml:space="preserve">the </w:t>
      </w:r>
      <w:r w:rsidR="00995587" w:rsidRPr="009967AA">
        <w:rPr>
          <w:rFonts w:asciiTheme="majorBidi" w:hAnsiTheme="majorBidi" w:cstheme="majorBidi"/>
          <w:sz w:val="24"/>
          <w:szCs w:val="24"/>
          <w:lang w:bidi="ar-IQ"/>
        </w:rPr>
        <w:t>majority  of patient</w:t>
      </w:r>
      <w:r w:rsidR="0014379D">
        <w:rPr>
          <w:rFonts w:asciiTheme="majorBidi" w:hAnsiTheme="majorBidi" w:cstheme="majorBidi"/>
          <w:sz w:val="24"/>
          <w:szCs w:val="24"/>
          <w:lang w:bidi="ar-IQ"/>
        </w:rPr>
        <w:t>s were</w:t>
      </w:r>
      <w:r w:rsidR="00995587" w:rsidRPr="009967AA">
        <w:rPr>
          <w:rFonts w:asciiTheme="majorBidi" w:hAnsiTheme="majorBidi" w:cstheme="majorBidi"/>
          <w:sz w:val="24"/>
          <w:szCs w:val="24"/>
          <w:lang w:bidi="ar-IQ"/>
        </w:rPr>
        <w:t xml:space="preserve"> from Babylon city (64.6%), 28.7% from Al-diwania city, 4.3 % from Al</w:t>
      </w:r>
      <w:r w:rsidR="00732F53" w:rsidRPr="009967AA">
        <w:rPr>
          <w:rFonts w:asciiTheme="majorBidi" w:hAnsiTheme="majorBidi" w:cstheme="majorBidi"/>
          <w:sz w:val="24"/>
          <w:szCs w:val="24"/>
          <w:lang w:bidi="ar-IQ"/>
        </w:rPr>
        <w:t>- cimawa, 1.1% from karbala</w:t>
      </w:r>
      <w:r w:rsidR="00A75CD6" w:rsidRPr="009967AA">
        <w:rPr>
          <w:rFonts w:asciiTheme="majorBidi" w:hAnsiTheme="majorBidi" w:cstheme="majorBidi"/>
          <w:sz w:val="24"/>
          <w:szCs w:val="24"/>
          <w:lang w:bidi="ar-IQ"/>
        </w:rPr>
        <w:t>.</w:t>
      </w:r>
      <w:r w:rsidR="000660A0" w:rsidRPr="009967AA">
        <w:rPr>
          <w:rFonts w:asciiTheme="majorBidi" w:hAnsiTheme="majorBidi" w:cstheme="majorBidi"/>
          <w:sz w:val="24"/>
          <w:szCs w:val="24"/>
          <w:lang w:bidi="ar-IQ"/>
        </w:rPr>
        <w:t>The mean duration of Imatinib</w:t>
      </w:r>
      <w:r w:rsidR="00995587" w:rsidRPr="009967AA">
        <w:rPr>
          <w:rFonts w:asciiTheme="majorBidi" w:hAnsiTheme="majorBidi" w:cstheme="majorBidi"/>
          <w:sz w:val="24"/>
          <w:szCs w:val="24"/>
          <w:lang w:bidi="ar-IQ"/>
        </w:rPr>
        <w:t xml:space="preserve"> treatment was</w:t>
      </w:r>
      <w:r w:rsidR="0014379D">
        <w:rPr>
          <w:rFonts w:asciiTheme="majorBidi" w:hAnsiTheme="majorBidi" w:cstheme="majorBidi"/>
          <w:sz w:val="24"/>
          <w:szCs w:val="24"/>
          <w:lang w:bidi="ar-IQ"/>
        </w:rPr>
        <w:t>(</w:t>
      </w:r>
      <w:r w:rsidR="00995587" w:rsidRPr="009967AA">
        <w:rPr>
          <w:rFonts w:asciiTheme="majorBidi" w:hAnsiTheme="majorBidi" w:cstheme="majorBidi"/>
          <w:sz w:val="24"/>
          <w:szCs w:val="24"/>
          <w:lang w:bidi="ar-IQ"/>
        </w:rPr>
        <w:t>4.5) years (ranging from 1 year to 15 years), wh</w:t>
      </w:r>
      <w:r w:rsidR="000660A0" w:rsidRPr="009967AA">
        <w:rPr>
          <w:rFonts w:asciiTheme="majorBidi" w:hAnsiTheme="majorBidi" w:cstheme="majorBidi"/>
          <w:sz w:val="24"/>
          <w:szCs w:val="24"/>
          <w:lang w:bidi="ar-IQ"/>
        </w:rPr>
        <w:t>ile the mean duration of Nilotinib</w:t>
      </w:r>
      <w:r w:rsidR="000047BE" w:rsidRPr="009967AA">
        <w:rPr>
          <w:rFonts w:asciiTheme="majorBidi" w:hAnsiTheme="majorBidi" w:cstheme="majorBidi"/>
          <w:sz w:val="24"/>
          <w:szCs w:val="24"/>
          <w:lang w:bidi="ar-IQ"/>
        </w:rPr>
        <w:t xml:space="preserve">was </w:t>
      </w:r>
      <w:r w:rsidR="008A63E7" w:rsidRPr="009967AA">
        <w:rPr>
          <w:rFonts w:asciiTheme="majorBidi" w:hAnsiTheme="majorBidi" w:cstheme="majorBidi"/>
          <w:sz w:val="24"/>
          <w:szCs w:val="24"/>
          <w:lang w:bidi="ar-IQ"/>
        </w:rPr>
        <w:t>2.5 years( ranging from 1-3 years).</w:t>
      </w:r>
    </w:p>
    <w:p w:rsidR="00BE31C1" w:rsidRPr="009967AA" w:rsidRDefault="00732F53"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Complete</w:t>
      </w:r>
      <w:r w:rsidR="008A63E7" w:rsidRPr="009967AA">
        <w:rPr>
          <w:rFonts w:asciiTheme="majorBidi" w:hAnsiTheme="majorBidi" w:cstheme="majorBidi"/>
          <w:sz w:val="24"/>
          <w:szCs w:val="24"/>
          <w:lang w:bidi="ar-IQ"/>
        </w:rPr>
        <w:t xml:space="preserve"> hematological response was achieved in all patients </w:t>
      </w:r>
      <w:r w:rsidR="000660A0" w:rsidRPr="009967AA">
        <w:rPr>
          <w:rFonts w:asciiTheme="majorBidi" w:hAnsiTheme="majorBidi" w:cstheme="majorBidi"/>
          <w:sz w:val="24"/>
          <w:szCs w:val="24"/>
          <w:lang w:bidi="ar-IQ"/>
        </w:rPr>
        <w:t>in this study including both in Imatinib  and Nilotinib</w:t>
      </w:r>
      <w:r w:rsidR="006F04AE" w:rsidRPr="009967AA">
        <w:rPr>
          <w:rFonts w:asciiTheme="majorBidi" w:hAnsiTheme="majorBidi" w:cstheme="majorBidi"/>
          <w:sz w:val="24"/>
          <w:szCs w:val="24"/>
          <w:lang w:bidi="ar-IQ"/>
        </w:rPr>
        <w:t xml:space="preserve"> drugs.</w:t>
      </w:r>
    </w:p>
    <w:p w:rsidR="00BE31C1" w:rsidRPr="009967AA" w:rsidRDefault="006F04AE"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lastRenderedPageBreak/>
        <w:t xml:space="preserve"> C</w:t>
      </w:r>
      <w:r w:rsidR="008A63E7" w:rsidRPr="009967AA">
        <w:rPr>
          <w:rFonts w:asciiTheme="majorBidi" w:hAnsiTheme="majorBidi" w:cstheme="majorBidi"/>
          <w:sz w:val="24"/>
          <w:szCs w:val="24"/>
          <w:lang w:bidi="ar-IQ"/>
        </w:rPr>
        <w:t>ytogenetic response</w:t>
      </w:r>
      <w:r w:rsidR="00732F53" w:rsidRPr="009967AA">
        <w:rPr>
          <w:rFonts w:asciiTheme="majorBidi" w:hAnsiTheme="majorBidi" w:cstheme="majorBidi"/>
          <w:sz w:val="24"/>
          <w:szCs w:val="24"/>
          <w:lang w:bidi="ar-IQ"/>
        </w:rPr>
        <w:t xml:space="preserve"> show</w:t>
      </w:r>
      <w:r w:rsidR="004255D0" w:rsidRPr="009967AA">
        <w:rPr>
          <w:rFonts w:asciiTheme="majorBidi" w:hAnsiTheme="majorBidi" w:cstheme="majorBidi"/>
          <w:sz w:val="24"/>
          <w:szCs w:val="24"/>
          <w:lang w:bidi="ar-IQ"/>
        </w:rPr>
        <w:t>ed</w:t>
      </w:r>
      <w:r w:rsidR="008A63E7" w:rsidRPr="009967AA">
        <w:rPr>
          <w:rFonts w:asciiTheme="majorBidi" w:hAnsiTheme="majorBidi" w:cstheme="majorBidi"/>
          <w:sz w:val="24"/>
          <w:szCs w:val="24"/>
          <w:lang w:bidi="ar-IQ"/>
        </w:rPr>
        <w:t xml:space="preserve"> that from 66 patients on </w:t>
      </w:r>
      <w:r w:rsidR="008F6523" w:rsidRPr="009967AA">
        <w:rPr>
          <w:rFonts w:asciiTheme="majorBidi" w:hAnsiTheme="majorBidi" w:cstheme="majorBidi"/>
          <w:sz w:val="24"/>
          <w:szCs w:val="24"/>
          <w:lang w:bidi="ar-IQ"/>
        </w:rPr>
        <w:t>Imatinib</w:t>
      </w:r>
      <w:r w:rsidRPr="009967AA">
        <w:rPr>
          <w:rFonts w:asciiTheme="majorBidi" w:hAnsiTheme="majorBidi" w:cstheme="majorBidi"/>
          <w:sz w:val="24"/>
          <w:szCs w:val="24"/>
          <w:lang w:bidi="ar-IQ"/>
        </w:rPr>
        <w:t xml:space="preserve">  57 (86.3%) achieved  </w:t>
      </w:r>
      <w:r w:rsidR="00CE7009" w:rsidRPr="009967AA">
        <w:rPr>
          <w:rFonts w:asciiTheme="majorBidi" w:hAnsiTheme="majorBidi" w:cstheme="majorBidi"/>
          <w:sz w:val="24"/>
          <w:szCs w:val="24"/>
          <w:lang w:bidi="ar-IQ"/>
        </w:rPr>
        <w:t>complete</w:t>
      </w:r>
      <w:r w:rsidRPr="009967AA">
        <w:rPr>
          <w:rFonts w:asciiTheme="majorBidi" w:hAnsiTheme="majorBidi" w:cstheme="majorBidi"/>
          <w:sz w:val="24"/>
          <w:szCs w:val="24"/>
          <w:lang w:bidi="ar-IQ"/>
        </w:rPr>
        <w:t xml:space="preserve"> cytogenetic response, 25 patients (37.8</w:t>
      </w:r>
      <w:r w:rsidR="0014379D">
        <w:rPr>
          <w:rFonts w:asciiTheme="majorBidi" w:hAnsiTheme="majorBidi" w:cstheme="majorBidi"/>
          <w:sz w:val="24"/>
          <w:szCs w:val="24"/>
          <w:lang w:bidi="ar-IQ"/>
        </w:rPr>
        <w:t>%) achieve</w:t>
      </w:r>
      <w:r w:rsidR="00CE7009" w:rsidRPr="009967AA">
        <w:rPr>
          <w:rFonts w:asciiTheme="majorBidi" w:hAnsiTheme="majorBidi" w:cstheme="majorBidi"/>
          <w:sz w:val="24"/>
          <w:szCs w:val="24"/>
          <w:lang w:bidi="ar-IQ"/>
        </w:rPr>
        <w:t xml:space="preserve"> complete</w:t>
      </w:r>
      <w:r w:rsidR="008A63E7" w:rsidRPr="009967AA">
        <w:rPr>
          <w:rFonts w:asciiTheme="majorBidi" w:hAnsiTheme="majorBidi" w:cstheme="majorBidi"/>
          <w:sz w:val="24"/>
          <w:szCs w:val="24"/>
          <w:lang w:bidi="ar-IQ"/>
        </w:rPr>
        <w:t xml:space="preserve"> cytogenetic</w:t>
      </w:r>
      <w:r w:rsidRPr="009967AA">
        <w:rPr>
          <w:rFonts w:asciiTheme="majorBidi" w:hAnsiTheme="majorBidi" w:cstheme="majorBidi"/>
          <w:sz w:val="24"/>
          <w:szCs w:val="24"/>
          <w:lang w:bidi="ar-IQ"/>
        </w:rPr>
        <w:t>response</w:t>
      </w:r>
      <w:r w:rsidR="008A63E7" w:rsidRPr="009967AA">
        <w:rPr>
          <w:rFonts w:asciiTheme="majorBidi" w:hAnsiTheme="majorBidi" w:cstheme="majorBidi"/>
          <w:sz w:val="24"/>
          <w:szCs w:val="24"/>
          <w:lang w:bidi="ar-IQ"/>
        </w:rPr>
        <w:t xml:space="preserve"> during the </w:t>
      </w:r>
      <w:r w:rsidR="003C1499" w:rsidRPr="009967AA">
        <w:rPr>
          <w:rFonts w:asciiTheme="majorBidi" w:hAnsiTheme="majorBidi" w:cstheme="majorBidi"/>
          <w:sz w:val="24"/>
          <w:szCs w:val="24"/>
          <w:lang w:bidi="ar-IQ"/>
        </w:rPr>
        <w:t>ideal</w:t>
      </w:r>
      <w:r w:rsidR="00BE31C1" w:rsidRPr="009967AA">
        <w:rPr>
          <w:rFonts w:asciiTheme="majorBidi" w:hAnsiTheme="majorBidi" w:cstheme="majorBidi"/>
          <w:sz w:val="24"/>
          <w:szCs w:val="24"/>
          <w:lang w:bidi="ar-IQ"/>
        </w:rPr>
        <w:t xml:space="preserve"> time, </w:t>
      </w:r>
      <w:r w:rsidRPr="009967AA">
        <w:rPr>
          <w:rFonts w:asciiTheme="majorBidi" w:hAnsiTheme="majorBidi" w:cstheme="majorBidi"/>
          <w:sz w:val="24"/>
          <w:szCs w:val="24"/>
          <w:lang w:bidi="ar-IQ"/>
        </w:rPr>
        <w:t>wh</w:t>
      </w:r>
      <w:r w:rsidR="00BE31C1" w:rsidRPr="009967AA">
        <w:rPr>
          <w:rFonts w:asciiTheme="majorBidi" w:hAnsiTheme="majorBidi" w:cstheme="majorBidi"/>
          <w:sz w:val="24"/>
          <w:szCs w:val="24"/>
          <w:lang w:bidi="ar-IQ"/>
        </w:rPr>
        <w:t xml:space="preserve">ile  32 patients (48.4%) have </w:t>
      </w:r>
      <w:r w:rsidR="008A63E7" w:rsidRPr="009967AA">
        <w:rPr>
          <w:rFonts w:asciiTheme="majorBidi" w:hAnsiTheme="majorBidi" w:cstheme="majorBidi"/>
          <w:sz w:val="24"/>
          <w:szCs w:val="24"/>
          <w:lang w:bidi="ar-IQ"/>
        </w:rPr>
        <w:t xml:space="preserve">delayed </w:t>
      </w:r>
      <w:r w:rsidR="00CE7009" w:rsidRPr="009967AA">
        <w:rPr>
          <w:rFonts w:asciiTheme="majorBidi" w:hAnsiTheme="majorBidi" w:cstheme="majorBidi"/>
          <w:sz w:val="24"/>
          <w:szCs w:val="24"/>
          <w:lang w:bidi="ar-IQ"/>
        </w:rPr>
        <w:t xml:space="preserve">complete </w:t>
      </w:r>
      <w:r w:rsidRPr="009967AA">
        <w:rPr>
          <w:rFonts w:asciiTheme="majorBidi" w:hAnsiTheme="majorBidi" w:cstheme="majorBidi"/>
          <w:sz w:val="24"/>
          <w:szCs w:val="24"/>
          <w:lang w:bidi="ar-IQ"/>
        </w:rPr>
        <w:t>cytogenetic response</w:t>
      </w:r>
      <w:r w:rsidR="0014379D">
        <w:rPr>
          <w:rFonts w:asciiTheme="majorBidi" w:hAnsiTheme="majorBidi" w:cstheme="majorBidi"/>
          <w:sz w:val="24"/>
          <w:szCs w:val="24"/>
          <w:lang w:bidi="ar-IQ"/>
        </w:rPr>
        <w:t>more than one year (</w:t>
      </w:r>
      <w:r w:rsidR="007220C4" w:rsidRPr="009967AA">
        <w:rPr>
          <w:rFonts w:asciiTheme="majorBidi" w:hAnsiTheme="majorBidi" w:cstheme="majorBidi"/>
          <w:sz w:val="24"/>
          <w:szCs w:val="24"/>
          <w:lang w:bidi="ar-IQ"/>
        </w:rPr>
        <w:t>table 2</w:t>
      </w:r>
      <w:r w:rsidR="00293A1D" w:rsidRPr="009967AA">
        <w:rPr>
          <w:rFonts w:asciiTheme="majorBidi" w:hAnsiTheme="majorBidi" w:cstheme="majorBidi"/>
          <w:sz w:val="24"/>
          <w:szCs w:val="24"/>
          <w:lang w:bidi="ar-IQ"/>
        </w:rPr>
        <w:t>).</w:t>
      </w:r>
    </w:p>
    <w:p w:rsidR="008A63E7" w:rsidRPr="009967AA" w:rsidRDefault="00767FD0"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 xml:space="preserve"> About</w:t>
      </w:r>
      <w:r w:rsidR="006F04AE" w:rsidRPr="009967AA">
        <w:rPr>
          <w:rFonts w:asciiTheme="majorBidi" w:hAnsiTheme="majorBidi" w:cstheme="majorBidi"/>
          <w:sz w:val="24"/>
          <w:szCs w:val="24"/>
          <w:lang w:bidi="ar-IQ"/>
        </w:rPr>
        <w:t xml:space="preserve"> molecular response 48 patients out of 66 (72.7%) achieved molecular response while 18 patients (27.2%) still had molecular failure</w:t>
      </w:r>
      <w:r w:rsidR="007220C4" w:rsidRPr="009967AA">
        <w:rPr>
          <w:rFonts w:asciiTheme="majorBidi" w:hAnsiTheme="majorBidi" w:cstheme="majorBidi"/>
          <w:sz w:val="24"/>
          <w:szCs w:val="24"/>
          <w:lang w:bidi="ar-IQ"/>
        </w:rPr>
        <w:t xml:space="preserve"> (table 3</w:t>
      </w:r>
      <w:r w:rsidR="00293A1D" w:rsidRPr="009967AA">
        <w:rPr>
          <w:rFonts w:asciiTheme="majorBidi" w:hAnsiTheme="majorBidi" w:cstheme="majorBidi"/>
          <w:sz w:val="24"/>
          <w:szCs w:val="24"/>
          <w:lang w:bidi="ar-IQ"/>
        </w:rPr>
        <w:t>)</w:t>
      </w:r>
      <w:r w:rsidR="006F04AE" w:rsidRPr="009967AA">
        <w:rPr>
          <w:rFonts w:asciiTheme="majorBidi" w:hAnsiTheme="majorBidi" w:cstheme="majorBidi"/>
          <w:sz w:val="24"/>
          <w:szCs w:val="24"/>
          <w:lang w:bidi="ar-IQ"/>
        </w:rPr>
        <w:t xml:space="preserve">. </w:t>
      </w:r>
    </w:p>
    <w:p w:rsidR="00BE31C1" w:rsidRPr="009967AA" w:rsidRDefault="008F6523"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Regarding Niloti</w:t>
      </w:r>
      <w:r w:rsidR="00556E40" w:rsidRPr="009967AA">
        <w:rPr>
          <w:rFonts w:asciiTheme="majorBidi" w:hAnsiTheme="majorBidi" w:cstheme="majorBidi"/>
          <w:sz w:val="24"/>
          <w:szCs w:val="24"/>
          <w:lang w:bidi="ar-IQ"/>
        </w:rPr>
        <w:t>nib</w:t>
      </w:r>
      <w:r w:rsidR="008A63E7" w:rsidRPr="009967AA">
        <w:rPr>
          <w:rFonts w:asciiTheme="majorBidi" w:hAnsiTheme="majorBidi" w:cstheme="majorBidi"/>
          <w:sz w:val="24"/>
          <w:szCs w:val="24"/>
          <w:lang w:bidi="ar-IQ"/>
        </w:rPr>
        <w:t>, 28 pati</w:t>
      </w:r>
      <w:r w:rsidR="00440FA2" w:rsidRPr="009967AA">
        <w:rPr>
          <w:rFonts w:asciiTheme="majorBidi" w:hAnsiTheme="majorBidi" w:cstheme="majorBidi"/>
          <w:sz w:val="24"/>
          <w:szCs w:val="24"/>
          <w:lang w:bidi="ar-IQ"/>
        </w:rPr>
        <w:t>ents studied</w:t>
      </w:r>
      <w:r w:rsidRPr="009967AA">
        <w:rPr>
          <w:rFonts w:asciiTheme="majorBidi" w:hAnsiTheme="majorBidi" w:cstheme="majorBidi"/>
          <w:sz w:val="24"/>
          <w:szCs w:val="24"/>
          <w:lang w:bidi="ar-IQ"/>
        </w:rPr>
        <w:t xml:space="preserve"> , they were switched to the drug </w:t>
      </w:r>
      <w:r w:rsidR="008A63E7" w:rsidRPr="009967AA">
        <w:rPr>
          <w:rFonts w:asciiTheme="majorBidi" w:hAnsiTheme="majorBidi" w:cstheme="majorBidi"/>
          <w:sz w:val="24"/>
          <w:szCs w:val="24"/>
          <w:lang w:bidi="ar-IQ"/>
        </w:rPr>
        <w:t xml:space="preserve"> because of loss </w:t>
      </w:r>
      <w:r w:rsidR="00BD183A" w:rsidRPr="009967AA">
        <w:rPr>
          <w:rFonts w:asciiTheme="majorBidi" w:hAnsiTheme="majorBidi" w:cstheme="majorBidi"/>
          <w:sz w:val="24"/>
          <w:szCs w:val="24"/>
          <w:lang w:bidi="ar-IQ"/>
        </w:rPr>
        <w:t xml:space="preserve">or failure </w:t>
      </w:r>
      <w:r w:rsidR="008A63E7" w:rsidRPr="009967AA">
        <w:rPr>
          <w:rFonts w:asciiTheme="majorBidi" w:hAnsiTheme="majorBidi" w:cstheme="majorBidi"/>
          <w:sz w:val="24"/>
          <w:szCs w:val="24"/>
          <w:lang w:bidi="ar-IQ"/>
        </w:rPr>
        <w:t xml:space="preserve">of </w:t>
      </w:r>
      <w:r w:rsidR="005B3298" w:rsidRPr="009967AA">
        <w:rPr>
          <w:rFonts w:asciiTheme="majorBidi" w:hAnsiTheme="majorBidi" w:cstheme="majorBidi"/>
          <w:sz w:val="24"/>
          <w:szCs w:val="24"/>
          <w:lang w:bidi="ar-IQ"/>
        </w:rPr>
        <w:t>molecular</w:t>
      </w:r>
      <w:r w:rsidR="000374C3" w:rsidRPr="009967AA">
        <w:rPr>
          <w:rFonts w:asciiTheme="majorBidi" w:hAnsiTheme="majorBidi" w:cstheme="majorBidi"/>
          <w:sz w:val="24"/>
          <w:szCs w:val="24"/>
          <w:lang w:bidi="ar-IQ"/>
        </w:rPr>
        <w:t xml:space="preserve"> response</w:t>
      </w:r>
      <w:r w:rsidR="000A3940" w:rsidRPr="009967AA">
        <w:rPr>
          <w:rFonts w:asciiTheme="majorBidi" w:hAnsiTheme="majorBidi" w:cstheme="majorBidi"/>
          <w:sz w:val="24"/>
          <w:szCs w:val="24"/>
          <w:lang w:bidi="ar-IQ"/>
        </w:rPr>
        <w:t xml:space="preserve">or </w:t>
      </w:r>
      <w:r w:rsidRPr="009967AA">
        <w:rPr>
          <w:rFonts w:asciiTheme="majorBidi" w:hAnsiTheme="majorBidi" w:cstheme="majorBidi"/>
          <w:sz w:val="24"/>
          <w:szCs w:val="24"/>
          <w:lang w:bidi="ar-IQ"/>
        </w:rPr>
        <w:t xml:space="preserve">because </w:t>
      </w:r>
      <w:r w:rsidR="000A3940" w:rsidRPr="009967AA">
        <w:rPr>
          <w:rFonts w:asciiTheme="majorBidi" w:hAnsiTheme="majorBidi" w:cstheme="majorBidi"/>
          <w:sz w:val="24"/>
          <w:szCs w:val="24"/>
          <w:lang w:bidi="ar-IQ"/>
        </w:rPr>
        <w:t xml:space="preserve">the patient developed accelerated phase </w:t>
      </w:r>
      <w:r w:rsidRPr="009967AA">
        <w:rPr>
          <w:rFonts w:asciiTheme="majorBidi" w:hAnsiTheme="majorBidi" w:cstheme="majorBidi"/>
          <w:sz w:val="24"/>
          <w:szCs w:val="24"/>
          <w:lang w:bidi="ar-IQ"/>
        </w:rPr>
        <w:t>while on Imatinib</w:t>
      </w:r>
      <w:r w:rsidR="000A3940" w:rsidRPr="009967AA">
        <w:rPr>
          <w:rFonts w:asciiTheme="majorBidi" w:hAnsiTheme="majorBidi" w:cstheme="majorBidi"/>
          <w:sz w:val="24"/>
          <w:szCs w:val="24"/>
          <w:lang w:bidi="ar-IQ"/>
        </w:rPr>
        <w:t xml:space="preserve"> treatment</w:t>
      </w:r>
      <w:r w:rsidR="00C24AF1" w:rsidRPr="009967AA">
        <w:rPr>
          <w:rFonts w:asciiTheme="majorBidi" w:hAnsiTheme="majorBidi" w:cstheme="majorBidi"/>
          <w:sz w:val="24"/>
          <w:szCs w:val="24"/>
          <w:lang w:bidi="ar-IQ"/>
        </w:rPr>
        <w:t>, 22 patients (78.5</w:t>
      </w:r>
      <w:r w:rsidR="0014379D">
        <w:rPr>
          <w:rFonts w:asciiTheme="majorBidi" w:hAnsiTheme="majorBidi" w:cstheme="majorBidi"/>
          <w:sz w:val="24"/>
          <w:szCs w:val="24"/>
          <w:lang w:bidi="ar-IQ"/>
        </w:rPr>
        <w:t>%)</w:t>
      </w:r>
      <w:r w:rsidR="00767FD0" w:rsidRPr="009967AA">
        <w:rPr>
          <w:rFonts w:asciiTheme="majorBidi" w:hAnsiTheme="majorBidi" w:cstheme="majorBidi"/>
          <w:sz w:val="24"/>
          <w:szCs w:val="24"/>
          <w:lang w:bidi="ar-IQ"/>
        </w:rPr>
        <w:t xml:space="preserve"> achieved</w:t>
      </w:r>
      <w:r w:rsidR="005B3298" w:rsidRPr="009967AA">
        <w:rPr>
          <w:rFonts w:asciiTheme="majorBidi" w:hAnsiTheme="majorBidi" w:cstheme="majorBidi"/>
          <w:sz w:val="24"/>
          <w:szCs w:val="24"/>
          <w:lang w:bidi="ar-IQ"/>
        </w:rPr>
        <w:t>complete</w:t>
      </w:r>
      <w:r w:rsidR="00C24AF1" w:rsidRPr="009967AA">
        <w:rPr>
          <w:rFonts w:asciiTheme="majorBidi" w:hAnsiTheme="majorBidi" w:cstheme="majorBidi"/>
          <w:sz w:val="24"/>
          <w:szCs w:val="24"/>
          <w:lang w:bidi="ar-IQ"/>
        </w:rPr>
        <w:t xml:space="preserve"> cytogenetic response, 10 (35.7</w:t>
      </w:r>
      <w:r w:rsidR="00767FD0" w:rsidRPr="009967AA">
        <w:rPr>
          <w:rFonts w:asciiTheme="majorBidi" w:hAnsiTheme="majorBidi" w:cstheme="majorBidi"/>
          <w:sz w:val="24"/>
          <w:szCs w:val="24"/>
          <w:lang w:bidi="ar-IQ"/>
        </w:rPr>
        <w:t xml:space="preserve">%) </w:t>
      </w:r>
      <w:r w:rsidR="00556E40" w:rsidRPr="009967AA">
        <w:rPr>
          <w:rFonts w:asciiTheme="majorBidi" w:hAnsiTheme="majorBidi" w:cstheme="majorBidi"/>
          <w:sz w:val="24"/>
          <w:szCs w:val="24"/>
          <w:lang w:bidi="ar-IQ"/>
        </w:rPr>
        <w:t>of them were achieved in the</w:t>
      </w:r>
      <w:r w:rsidR="00C24AF1" w:rsidRPr="009967AA">
        <w:rPr>
          <w:rFonts w:asciiTheme="majorBidi" w:hAnsiTheme="majorBidi" w:cstheme="majorBidi"/>
          <w:sz w:val="24"/>
          <w:szCs w:val="24"/>
          <w:lang w:bidi="ar-IQ"/>
        </w:rPr>
        <w:t xml:space="preserve"> optimal time while </w:t>
      </w:r>
      <w:r w:rsidRPr="009967AA">
        <w:rPr>
          <w:rFonts w:asciiTheme="majorBidi" w:hAnsiTheme="majorBidi" w:cstheme="majorBidi"/>
          <w:sz w:val="24"/>
          <w:szCs w:val="24"/>
          <w:lang w:bidi="ar-IQ"/>
        </w:rPr>
        <w:t xml:space="preserve">the </w:t>
      </w:r>
      <w:r w:rsidR="00C24AF1" w:rsidRPr="009967AA">
        <w:rPr>
          <w:rFonts w:asciiTheme="majorBidi" w:hAnsiTheme="majorBidi" w:cstheme="majorBidi"/>
          <w:sz w:val="24"/>
          <w:szCs w:val="24"/>
          <w:lang w:bidi="ar-IQ"/>
        </w:rPr>
        <w:t>other</w:t>
      </w:r>
      <w:r w:rsidRPr="009967AA">
        <w:rPr>
          <w:rFonts w:asciiTheme="majorBidi" w:hAnsiTheme="majorBidi" w:cstheme="majorBidi"/>
          <w:sz w:val="24"/>
          <w:szCs w:val="24"/>
          <w:lang w:bidi="ar-IQ"/>
        </w:rPr>
        <w:t>s</w:t>
      </w:r>
      <w:r w:rsidR="00C24AF1" w:rsidRPr="009967AA">
        <w:rPr>
          <w:rFonts w:asciiTheme="majorBidi" w:hAnsiTheme="majorBidi" w:cstheme="majorBidi"/>
          <w:sz w:val="24"/>
          <w:szCs w:val="24"/>
          <w:lang w:bidi="ar-IQ"/>
        </w:rPr>
        <w:t xml:space="preserve"> 12 (42.8</w:t>
      </w:r>
      <w:r w:rsidR="00556E40" w:rsidRPr="009967AA">
        <w:rPr>
          <w:rFonts w:asciiTheme="majorBidi" w:hAnsiTheme="majorBidi" w:cstheme="majorBidi"/>
          <w:sz w:val="24"/>
          <w:szCs w:val="24"/>
          <w:lang w:bidi="ar-IQ"/>
        </w:rPr>
        <w:t xml:space="preserve">%) </w:t>
      </w:r>
      <w:r w:rsidR="00767FD0" w:rsidRPr="009967AA">
        <w:rPr>
          <w:rFonts w:asciiTheme="majorBidi" w:hAnsiTheme="majorBidi" w:cstheme="majorBidi"/>
          <w:sz w:val="24"/>
          <w:szCs w:val="24"/>
          <w:lang w:bidi="ar-IQ"/>
        </w:rPr>
        <w:t xml:space="preserve">got delayed </w:t>
      </w:r>
      <w:r w:rsidR="00440FA2" w:rsidRPr="009967AA">
        <w:rPr>
          <w:rFonts w:asciiTheme="majorBidi" w:hAnsiTheme="majorBidi" w:cstheme="majorBidi"/>
          <w:sz w:val="24"/>
          <w:szCs w:val="24"/>
          <w:lang w:bidi="ar-IQ"/>
        </w:rPr>
        <w:t xml:space="preserve">complete </w:t>
      </w:r>
      <w:r w:rsidR="00BE31C1" w:rsidRPr="009967AA">
        <w:rPr>
          <w:rFonts w:asciiTheme="majorBidi" w:hAnsiTheme="majorBidi" w:cstheme="majorBidi"/>
          <w:sz w:val="24"/>
          <w:szCs w:val="24"/>
          <w:lang w:bidi="ar-IQ"/>
        </w:rPr>
        <w:t>cytogenetic response</w:t>
      </w:r>
      <w:r w:rsidR="007220C4" w:rsidRPr="009967AA">
        <w:rPr>
          <w:rFonts w:asciiTheme="majorBidi" w:hAnsiTheme="majorBidi" w:cstheme="majorBidi"/>
          <w:sz w:val="24"/>
          <w:szCs w:val="24"/>
          <w:lang w:bidi="ar-IQ"/>
        </w:rPr>
        <w:t xml:space="preserve"> (table 2</w:t>
      </w:r>
      <w:r w:rsidR="00293A1D" w:rsidRPr="009967AA">
        <w:rPr>
          <w:rFonts w:asciiTheme="majorBidi" w:hAnsiTheme="majorBidi" w:cstheme="majorBidi"/>
          <w:sz w:val="24"/>
          <w:szCs w:val="24"/>
          <w:lang w:bidi="ar-IQ"/>
        </w:rPr>
        <w:t>)</w:t>
      </w:r>
      <w:r w:rsidR="00BE31C1" w:rsidRPr="009967AA">
        <w:rPr>
          <w:rFonts w:asciiTheme="majorBidi" w:hAnsiTheme="majorBidi" w:cstheme="majorBidi"/>
          <w:sz w:val="24"/>
          <w:szCs w:val="24"/>
          <w:lang w:bidi="ar-IQ"/>
        </w:rPr>
        <w:t>.</w:t>
      </w:r>
    </w:p>
    <w:p w:rsidR="00F70542" w:rsidRPr="009967AA" w:rsidRDefault="00BE31C1"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M</w:t>
      </w:r>
      <w:r w:rsidR="00767FD0" w:rsidRPr="009967AA">
        <w:rPr>
          <w:rFonts w:asciiTheme="majorBidi" w:hAnsiTheme="majorBidi" w:cstheme="majorBidi"/>
          <w:sz w:val="24"/>
          <w:szCs w:val="24"/>
          <w:lang w:bidi="ar-IQ"/>
        </w:rPr>
        <w:t>olecular response</w:t>
      </w:r>
      <w:r w:rsidRPr="009967AA">
        <w:rPr>
          <w:rFonts w:asciiTheme="majorBidi" w:hAnsiTheme="majorBidi" w:cstheme="majorBidi"/>
          <w:sz w:val="24"/>
          <w:szCs w:val="24"/>
          <w:lang w:bidi="ar-IQ"/>
        </w:rPr>
        <w:t xml:space="preserve"> showed that</w:t>
      </w:r>
      <w:r w:rsidR="00F672F7" w:rsidRPr="009967AA">
        <w:rPr>
          <w:rFonts w:asciiTheme="majorBidi" w:hAnsiTheme="majorBidi" w:cstheme="majorBidi"/>
          <w:sz w:val="24"/>
          <w:szCs w:val="24"/>
          <w:lang w:bidi="ar-IQ"/>
        </w:rPr>
        <w:t xml:space="preserve"> 15  (53.5</w:t>
      </w:r>
      <w:r w:rsidR="00767FD0" w:rsidRPr="009967AA">
        <w:rPr>
          <w:rFonts w:asciiTheme="majorBidi" w:hAnsiTheme="majorBidi" w:cstheme="majorBidi"/>
          <w:sz w:val="24"/>
          <w:szCs w:val="24"/>
          <w:lang w:bidi="ar-IQ"/>
        </w:rPr>
        <w:t xml:space="preserve">%) achieved </w:t>
      </w:r>
      <w:r w:rsidR="00D46799" w:rsidRPr="009967AA">
        <w:rPr>
          <w:rFonts w:asciiTheme="majorBidi" w:hAnsiTheme="majorBidi" w:cstheme="majorBidi"/>
          <w:sz w:val="24"/>
          <w:szCs w:val="24"/>
          <w:lang w:bidi="ar-IQ"/>
        </w:rPr>
        <w:t xml:space="preserve">major </w:t>
      </w:r>
      <w:r w:rsidR="00F672F7" w:rsidRPr="009967AA">
        <w:rPr>
          <w:rFonts w:asciiTheme="majorBidi" w:hAnsiTheme="majorBidi" w:cstheme="majorBidi"/>
          <w:sz w:val="24"/>
          <w:szCs w:val="24"/>
          <w:lang w:bidi="ar-IQ"/>
        </w:rPr>
        <w:t xml:space="preserve">molecular response </w:t>
      </w:r>
      <w:r w:rsidR="00F672F7" w:rsidRPr="009967AA">
        <w:rPr>
          <w:rFonts w:asciiTheme="majorBidi" w:hAnsiTheme="majorBidi" w:cstheme="majorBidi"/>
          <w:sz w:val="24"/>
          <w:szCs w:val="24"/>
          <w:lang w:bidi="ar-IQ"/>
        </w:rPr>
        <w:lastRenderedPageBreak/>
        <w:t xml:space="preserve">and other 13 (46.5 </w:t>
      </w:r>
      <w:r w:rsidR="00767FD0" w:rsidRPr="009967AA">
        <w:rPr>
          <w:rFonts w:asciiTheme="majorBidi" w:hAnsiTheme="majorBidi" w:cstheme="majorBidi"/>
          <w:sz w:val="24"/>
          <w:szCs w:val="24"/>
          <w:lang w:bidi="ar-IQ"/>
        </w:rPr>
        <w:t xml:space="preserve">%) </w:t>
      </w:r>
      <w:r w:rsidR="00BD183A" w:rsidRPr="009967AA">
        <w:rPr>
          <w:rFonts w:asciiTheme="majorBidi" w:hAnsiTheme="majorBidi" w:cstheme="majorBidi"/>
          <w:sz w:val="24"/>
          <w:szCs w:val="24"/>
          <w:lang w:bidi="ar-IQ"/>
        </w:rPr>
        <w:t>still have failure of</w:t>
      </w:r>
      <w:r w:rsidR="00CA3BE3" w:rsidRPr="009967AA">
        <w:rPr>
          <w:rFonts w:asciiTheme="majorBidi" w:hAnsiTheme="majorBidi" w:cstheme="majorBidi"/>
          <w:sz w:val="24"/>
          <w:szCs w:val="24"/>
          <w:lang w:bidi="ar-IQ"/>
        </w:rPr>
        <w:t xml:space="preserve"> molecular </w:t>
      </w:r>
      <w:r w:rsidR="00BD183A" w:rsidRPr="009967AA">
        <w:rPr>
          <w:rFonts w:asciiTheme="majorBidi" w:hAnsiTheme="majorBidi" w:cstheme="majorBidi"/>
          <w:sz w:val="24"/>
          <w:szCs w:val="24"/>
          <w:lang w:bidi="ar-IQ"/>
        </w:rPr>
        <w:t xml:space="preserve"> r</w:t>
      </w:r>
      <w:r w:rsidR="008F6523" w:rsidRPr="009967AA">
        <w:rPr>
          <w:rFonts w:asciiTheme="majorBidi" w:hAnsiTheme="majorBidi" w:cstheme="majorBidi"/>
          <w:sz w:val="24"/>
          <w:szCs w:val="24"/>
          <w:lang w:bidi="ar-IQ"/>
        </w:rPr>
        <w:t xml:space="preserve">esponse despite of  1-3 years of </w:t>
      </w:r>
      <w:r w:rsidR="008F6523" w:rsidRPr="009967AA">
        <w:rPr>
          <w:rFonts w:asciiTheme="majorBidi" w:hAnsiTheme="majorBidi" w:cstheme="majorBidi"/>
          <w:sz w:val="24"/>
          <w:szCs w:val="24"/>
          <w:lang w:bidi="ar-IQ"/>
        </w:rPr>
        <w:lastRenderedPageBreak/>
        <w:t>Nilotinib</w:t>
      </w:r>
      <w:r w:rsidR="00BD183A" w:rsidRPr="009967AA">
        <w:rPr>
          <w:rFonts w:asciiTheme="majorBidi" w:hAnsiTheme="majorBidi" w:cstheme="majorBidi"/>
          <w:sz w:val="24"/>
          <w:szCs w:val="24"/>
          <w:lang w:bidi="ar-IQ"/>
        </w:rPr>
        <w:t xml:space="preserve"> treatment</w:t>
      </w:r>
      <w:r w:rsidR="007220C4" w:rsidRPr="009967AA">
        <w:rPr>
          <w:rFonts w:asciiTheme="majorBidi" w:hAnsiTheme="majorBidi" w:cstheme="majorBidi"/>
          <w:sz w:val="24"/>
          <w:szCs w:val="24"/>
          <w:lang w:bidi="ar-IQ"/>
        </w:rPr>
        <w:t xml:space="preserve"> (table 3</w:t>
      </w:r>
      <w:r w:rsidR="00293A1D" w:rsidRPr="009967AA">
        <w:rPr>
          <w:rFonts w:asciiTheme="majorBidi" w:hAnsiTheme="majorBidi" w:cstheme="majorBidi"/>
          <w:sz w:val="24"/>
          <w:szCs w:val="24"/>
          <w:lang w:bidi="ar-IQ"/>
        </w:rPr>
        <w:t>)</w:t>
      </w:r>
      <w:r w:rsidR="00BD183A" w:rsidRPr="009967AA">
        <w:rPr>
          <w:rFonts w:asciiTheme="majorBidi" w:hAnsiTheme="majorBidi" w:cstheme="majorBidi"/>
          <w:sz w:val="24"/>
          <w:szCs w:val="24"/>
          <w:lang w:bidi="ar-IQ"/>
        </w:rPr>
        <w:t>.</w:t>
      </w:r>
    </w:p>
    <w:p w:rsidR="001F4A25" w:rsidRDefault="001F4A25"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p w:rsidR="00BB697C" w:rsidRDefault="00BB697C" w:rsidP="00BB697C">
      <w:pPr>
        <w:autoSpaceDE w:val="0"/>
        <w:autoSpaceDN w:val="0"/>
        <w:bidi w:val="0"/>
        <w:adjustRightInd w:val="0"/>
        <w:spacing w:after="0" w:line="240" w:lineRule="auto"/>
        <w:ind w:left="60" w:right="60"/>
        <w:jc w:val="both"/>
        <w:rPr>
          <w:rFonts w:asciiTheme="majorBidi" w:hAnsiTheme="majorBidi" w:cstheme="majorBidi"/>
          <w:color w:val="000000"/>
          <w:sz w:val="24"/>
          <w:szCs w:val="24"/>
        </w:rPr>
        <w:sectPr w:rsidR="00BB697C" w:rsidSect="00F72E24">
          <w:type w:val="continuous"/>
          <w:pgSz w:w="11906" w:h="16838"/>
          <w:pgMar w:top="1090" w:right="1376" w:bottom="1440" w:left="1350" w:header="708" w:footer="708" w:gutter="0"/>
          <w:cols w:num="2" w:space="708"/>
          <w:docGrid w:linePitch="360"/>
        </w:sectPr>
      </w:pPr>
    </w:p>
    <w:tbl>
      <w:tblPr>
        <w:tblW w:w="7513" w:type="dxa"/>
        <w:jc w:val="center"/>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
        <w:gridCol w:w="1259"/>
        <w:gridCol w:w="1843"/>
        <w:gridCol w:w="40"/>
        <w:gridCol w:w="2550"/>
        <w:gridCol w:w="953"/>
        <w:gridCol w:w="709"/>
      </w:tblGrid>
      <w:tr w:rsidR="00F70542" w:rsidRPr="009967AA" w:rsidTr="00BB697C">
        <w:trPr>
          <w:cantSplit/>
          <w:tblHeader/>
          <w:jc w:val="center"/>
        </w:trPr>
        <w:tc>
          <w:tcPr>
            <w:tcW w:w="7513" w:type="dxa"/>
            <w:gridSpan w:val="7"/>
            <w:tcBorders>
              <w:top w:val="nil"/>
              <w:left w:val="nil"/>
              <w:bottom w:val="nil"/>
              <w:right w:val="nil"/>
            </w:tcBorders>
            <w:shd w:val="clear" w:color="auto" w:fill="FFFFFF"/>
            <w:vAlign w:val="center"/>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70542" w:rsidRPr="009967AA" w:rsidTr="00BB697C">
        <w:trPr>
          <w:cantSplit/>
          <w:tblHeader/>
          <w:jc w:val="center"/>
        </w:trPr>
        <w:tc>
          <w:tcPr>
            <w:tcW w:w="7513" w:type="dxa"/>
            <w:gridSpan w:val="7"/>
            <w:tcBorders>
              <w:top w:val="nil"/>
              <w:left w:val="nil"/>
              <w:bottom w:val="nil"/>
              <w:right w:val="nil"/>
            </w:tcBorders>
            <w:shd w:val="clear" w:color="auto" w:fill="FFFFFF"/>
            <w:vAlign w:val="bottom"/>
          </w:tcPr>
          <w:p w:rsidR="00F70542" w:rsidRDefault="007220C4"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1F4A25">
              <w:rPr>
                <w:rFonts w:asciiTheme="majorBidi" w:hAnsiTheme="majorBidi" w:cstheme="majorBidi"/>
                <w:b/>
                <w:bCs/>
                <w:color w:val="000000"/>
                <w:sz w:val="24"/>
                <w:szCs w:val="24"/>
                <w:u w:val="single"/>
              </w:rPr>
              <w:t>Table 2</w:t>
            </w:r>
            <w:r w:rsidR="001F4A25" w:rsidRPr="001F4A25">
              <w:rPr>
                <w:rFonts w:asciiTheme="majorBidi" w:hAnsiTheme="majorBidi" w:cstheme="majorBidi"/>
                <w:b/>
                <w:bCs/>
                <w:color w:val="000000"/>
                <w:sz w:val="24"/>
                <w:szCs w:val="24"/>
                <w:u w:val="single"/>
              </w:rPr>
              <w:t>:</w:t>
            </w:r>
            <w:r w:rsidR="00CD2A7B" w:rsidRPr="009967AA">
              <w:rPr>
                <w:rFonts w:asciiTheme="majorBidi" w:hAnsiTheme="majorBidi" w:cstheme="majorBidi"/>
                <w:color w:val="000000"/>
                <w:sz w:val="24"/>
                <w:szCs w:val="24"/>
              </w:rPr>
              <w:t>Complete Cytoge</w:t>
            </w:r>
            <w:r w:rsidR="008F6523" w:rsidRPr="009967AA">
              <w:rPr>
                <w:rFonts w:asciiTheme="majorBidi" w:hAnsiTheme="majorBidi" w:cstheme="majorBidi"/>
                <w:color w:val="000000"/>
                <w:sz w:val="24"/>
                <w:szCs w:val="24"/>
              </w:rPr>
              <w:t>netic Response Rates to Imatinib</w:t>
            </w:r>
            <w:r w:rsidR="00CD2A7B" w:rsidRPr="009967AA">
              <w:rPr>
                <w:rFonts w:asciiTheme="majorBidi" w:hAnsiTheme="majorBidi" w:cstheme="majorBidi"/>
                <w:color w:val="000000"/>
                <w:sz w:val="24"/>
                <w:szCs w:val="24"/>
              </w:rPr>
              <w:t xml:space="preserve"> and </w:t>
            </w:r>
            <w:r w:rsidR="008F6523" w:rsidRPr="009967AA">
              <w:rPr>
                <w:rFonts w:asciiTheme="majorBidi" w:hAnsiTheme="majorBidi" w:cstheme="majorBidi"/>
                <w:color w:val="000000"/>
                <w:sz w:val="24"/>
                <w:szCs w:val="24"/>
              </w:rPr>
              <w:t>Nilotinib</w:t>
            </w:r>
          </w:p>
          <w:p w:rsidR="001F4A25" w:rsidRPr="009967AA" w:rsidRDefault="001F4A25"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70542" w:rsidRPr="009967AA" w:rsidTr="00BB697C">
        <w:trPr>
          <w:cantSplit/>
          <w:tblHeader/>
          <w:jc w:val="center"/>
        </w:trPr>
        <w:tc>
          <w:tcPr>
            <w:tcW w:w="141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0542" w:rsidRPr="00BB697C" w:rsidRDefault="00F70542" w:rsidP="0014379D">
            <w:pPr>
              <w:autoSpaceDE w:val="0"/>
              <w:autoSpaceDN w:val="0"/>
              <w:bidi w:val="0"/>
              <w:adjustRightInd w:val="0"/>
              <w:spacing w:after="0" w:line="240" w:lineRule="auto"/>
              <w:jc w:val="center"/>
              <w:rPr>
                <w:rFonts w:asciiTheme="majorBidi" w:hAnsiTheme="majorBidi" w:cstheme="majorBidi"/>
                <w:b/>
                <w:bCs/>
                <w:sz w:val="24"/>
                <w:szCs w:val="24"/>
              </w:rPr>
            </w:pPr>
            <w:r w:rsidRPr="00BB697C">
              <w:rPr>
                <w:rFonts w:asciiTheme="majorBidi" w:hAnsiTheme="majorBidi" w:cstheme="majorBidi"/>
                <w:b/>
                <w:bCs/>
                <w:sz w:val="24"/>
                <w:szCs w:val="24"/>
              </w:rPr>
              <w:t>Drug</w:t>
            </w:r>
          </w:p>
        </w:tc>
        <w:tc>
          <w:tcPr>
            <w:tcW w:w="5386" w:type="dxa"/>
            <w:gridSpan w:val="4"/>
            <w:tcBorders>
              <w:top w:val="single" w:sz="16" w:space="0" w:color="000000"/>
              <w:left w:val="single" w:sz="16" w:space="0" w:color="000000"/>
            </w:tcBorders>
            <w:shd w:val="clear" w:color="auto" w:fill="FFFFFF"/>
            <w:vAlign w:val="bottom"/>
          </w:tcPr>
          <w:p w:rsidR="00F70542" w:rsidRPr="00BB697C" w:rsidRDefault="0052785F" w:rsidP="00BB697C">
            <w:pPr>
              <w:autoSpaceDE w:val="0"/>
              <w:autoSpaceDN w:val="0"/>
              <w:bidi w:val="0"/>
              <w:adjustRightInd w:val="0"/>
              <w:spacing w:after="0" w:line="240" w:lineRule="auto"/>
              <w:ind w:left="60" w:right="60"/>
              <w:jc w:val="center"/>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 xml:space="preserve">Complete </w:t>
            </w:r>
            <w:r w:rsidR="00F70542" w:rsidRPr="00BB697C">
              <w:rPr>
                <w:rFonts w:asciiTheme="majorBidi" w:hAnsiTheme="majorBidi" w:cstheme="majorBidi"/>
                <w:b/>
                <w:bCs/>
                <w:color w:val="000000"/>
                <w:sz w:val="24"/>
                <w:szCs w:val="24"/>
              </w:rPr>
              <w:t>Cytogenetic Response</w:t>
            </w:r>
            <w:r w:rsidR="00BB697C" w:rsidRPr="00BB697C">
              <w:rPr>
                <w:rFonts w:asciiTheme="majorBidi" w:hAnsiTheme="majorBidi" w:cstheme="majorBidi"/>
                <w:b/>
                <w:bCs/>
                <w:color w:val="000000"/>
                <w:sz w:val="24"/>
                <w:szCs w:val="24"/>
              </w:rPr>
              <w:t xml:space="preserve"> ( </w:t>
            </w:r>
            <w:r w:rsidRPr="00BB697C">
              <w:rPr>
                <w:rFonts w:asciiTheme="majorBidi" w:hAnsiTheme="majorBidi" w:cstheme="majorBidi"/>
                <w:b/>
                <w:bCs/>
                <w:color w:val="000000"/>
                <w:sz w:val="24"/>
                <w:szCs w:val="24"/>
              </w:rPr>
              <w:t>Ccyto. R.)</w:t>
            </w:r>
          </w:p>
        </w:tc>
        <w:tc>
          <w:tcPr>
            <w:tcW w:w="709" w:type="dxa"/>
            <w:vMerge w:val="restart"/>
            <w:tcBorders>
              <w:top w:val="single" w:sz="16" w:space="0" w:color="000000"/>
              <w:bottom w:val="single" w:sz="16" w:space="0" w:color="000000"/>
              <w:right w:val="single" w:sz="16" w:space="0" w:color="000000"/>
            </w:tcBorders>
            <w:shd w:val="clear" w:color="auto" w:fill="FFFFFF"/>
            <w:vAlign w:val="bottom"/>
          </w:tcPr>
          <w:p w:rsidR="00F70542" w:rsidRPr="00BB697C" w:rsidRDefault="00F70542"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Total</w:t>
            </w:r>
          </w:p>
        </w:tc>
      </w:tr>
      <w:tr w:rsidR="00C92F56" w:rsidRPr="009967AA" w:rsidTr="00BB697C">
        <w:trPr>
          <w:cantSplit/>
          <w:tblHeader/>
          <w:jc w:val="center"/>
        </w:trPr>
        <w:tc>
          <w:tcPr>
            <w:tcW w:w="141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92F56" w:rsidRPr="009967AA" w:rsidRDefault="00C92F56"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843" w:type="dxa"/>
            <w:tcBorders>
              <w:left w:val="single" w:sz="16" w:space="0" w:color="000000"/>
              <w:bottom w:val="single" w:sz="16" w:space="0" w:color="000000"/>
            </w:tcBorders>
            <w:shd w:val="clear" w:color="auto" w:fill="FFFFFF"/>
            <w:vAlign w:val="bottom"/>
          </w:tcPr>
          <w:p w:rsidR="00C92F56" w:rsidRPr="00BB697C" w:rsidRDefault="00C92F56"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 xml:space="preserve">Optimal  Ccyto. R. </w:t>
            </w:r>
          </w:p>
        </w:tc>
        <w:tc>
          <w:tcPr>
            <w:tcW w:w="40" w:type="dxa"/>
            <w:tcBorders>
              <w:bottom w:val="single" w:sz="16" w:space="0" w:color="000000"/>
            </w:tcBorders>
            <w:shd w:val="clear" w:color="auto" w:fill="FFFFFF"/>
            <w:vAlign w:val="bottom"/>
          </w:tcPr>
          <w:p w:rsidR="00C92F56" w:rsidRPr="00BB697C" w:rsidRDefault="00C92F56"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p>
        </w:tc>
        <w:tc>
          <w:tcPr>
            <w:tcW w:w="2550" w:type="dxa"/>
            <w:tcBorders>
              <w:bottom w:val="single" w:sz="16" w:space="0" w:color="000000"/>
              <w:right w:val="single" w:sz="4" w:space="0" w:color="auto"/>
            </w:tcBorders>
            <w:shd w:val="clear" w:color="auto" w:fill="FFFFFF"/>
            <w:vAlign w:val="bottom"/>
          </w:tcPr>
          <w:p w:rsidR="00C92F56" w:rsidRPr="00BB697C" w:rsidRDefault="00C92F56"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Delayed Ccyto. R.</w:t>
            </w:r>
          </w:p>
        </w:tc>
        <w:tc>
          <w:tcPr>
            <w:tcW w:w="953" w:type="dxa"/>
            <w:tcBorders>
              <w:left w:val="single" w:sz="4" w:space="0" w:color="auto"/>
              <w:bottom w:val="single" w:sz="16" w:space="0" w:color="000000"/>
            </w:tcBorders>
            <w:shd w:val="clear" w:color="auto" w:fill="FFFFFF"/>
            <w:vAlign w:val="bottom"/>
          </w:tcPr>
          <w:p w:rsidR="00C92F56" w:rsidRPr="00BB697C" w:rsidRDefault="00C92F56" w:rsidP="009967AA">
            <w:pPr>
              <w:autoSpaceDE w:val="0"/>
              <w:autoSpaceDN w:val="0"/>
              <w:bidi w:val="0"/>
              <w:adjustRightInd w:val="0"/>
              <w:spacing w:after="0" w:line="240" w:lineRule="auto"/>
              <w:ind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Failure</w:t>
            </w:r>
          </w:p>
        </w:tc>
        <w:tc>
          <w:tcPr>
            <w:tcW w:w="709" w:type="dxa"/>
            <w:vMerge/>
            <w:tcBorders>
              <w:top w:val="single" w:sz="16" w:space="0" w:color="000000"/>
              <w:bottom w:val="single" w:sz="16" w:space="0" w:color="000000"/>
              <w:right w:val="single" w:sz="16" w:space="0" w:color="000000"/>
            </w:tcBorders>
            <w:shd w:val="clear" w:color="auto" w:fill="FFFFFF"/>
            <w:vAlign w:val="bottom"/>
          </w:tcPr>
          <w:p w:rsidR="00C92F56" w:rsidRPr="009967AA" w:rsidRDefault="00C92F56"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r>
      <w:tr w:rsidR="00C92F56" w:rsidRPr="009967AA" w:rsidTr="00BB697C">
        <w:trPr>
          <w:cantSplit/>
          <w:tblHeader/>
          <w:jc w:val="center"/>
        </w:trPr>
        <w:tc>
          <w:tcPr>
            <w:tcW w:w="159" w:type="dxa"/>
            <w:vMerge w:val="restart"/>
            <w:tcBorders>
              <w:top w:val="single" w:sz="16" w:space="0" w:color="000000"/>
              <w:left w:val="single" w:sz="16" w:space="0" w:color="000000"/>
              <w:bottom w:val="nil"/>
              <w:right w:val="nil"/>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c>
          <w:tcPr>
            <w:tcW w:w="1259" w:type="dxa"/>
            <w:tcBorders>
              <w:top w:val="single" w:sz="16" w:space="0" w:color="000000"/>
              <w:left w:val="nil"/>
              <w:bottom w:val="nil"/>
              <w:right w:val="single" w:sz="16" w:space="0" w:color="000000"/>
            </w:tcBorders>
            <w:shd w:val="clear" w:color="auto" w:fill="FFFFFF"/>
          </w:tcPr>
          <w:p w:rsidR="00C92F56" w:rsidRPr="009967AA" w:rsidRDefault="00906694"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Imatinib</w:t>
            </w:r>
          </w:p>
        </w:tc>
        <w:tc>
          <w:tcPr>
            <w:tcW w:w="1843" w:type="dxa"/>
            <w:tcBorders>
              <w:top w:val="single" w:sz="16" w:space="0" w:color="000000"/>
              <w:left w:val="single" w:sz="16" w:space="0" w:color="000000"/>
              <w:bottom w:val="nil"/>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25   (37.8%)</w:t>
            </w:r>
          </w:p>
        </w:tc>
        <w:tc>
          <w:tcPr>
            <w:tcW w:w="40" w:type="dxa"/>
            <w:tcBorders>
              <w:top w:val="single" w:sz="16" w:space="0" w:color="000000"/>
              <w:bottom w:val="nil"/>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c>
          <w:tcPr>
            <w:tcW w:w="2550" w:type="dxa"/>
            <w:tcBorders>
              <w:top w:val="single" w:sz="16" w:space="0" w:color="000000"/>
              <w:bottom w:val="nil"/>
              <w:right w:val="single" w:sz="4" w:space="0" w:color="auto"/>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32     (48.8%)</w:t>
            </w:r>
          </w:p>
        </w:tc>
        <w:tc>
          <w:tcPr>
            <w:tcW w:w="953" w:type="dxa"/>
            <w:tcBorders>
              <w:top w:val="single" w:sz="16" w:space="0" w:color="000000"/>
              <w:left w:val="single" w:sz="4" w:space="0" w:color="auto"/>
              <w:bottom w:val="nil"/>
            </w:tcBorders>
            <w:shd w:val="clear" w:color="auto" w:fill="FFFFFF"/>
          </w:tcPr>
          <w:p w:rsidR="00C92F56" w:rsidRPr="009967AA" w:rsidRDefault="004726EA"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 xml:space="preserve">  9   (13.6%)</w:t>
            </w:r>
          </w:p>
        </w:tc>
        <w:tc>
          <w:tcPr>
            <w:tcW w:w="709" w:type="dxa"/>
            <w:tcBorders>
              <w:top w:val="single" w:sz="16" w:space="0" w:color="000000"/>
              <w:bottom w:val="nil"/>
              <w:right w:val="single" w:sz="16" w:space="0" w:color="000000"/>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66</w:t>
            </w:r>
          </w:p>
        </w:tc>
      </w:tr>
      <w:tr w:rsidR="00C92F56" w:rsidRPr="009967AA" w:rsidTr="00BB697C">
        <w:trPr>
          <w:cantSplit/>
          <w:tblHeader/>
          <w:jc w:val="center"/>
        </w:trPr>
        <w:tc>
          <w:tcPr>
            <w:tcW w:w="159" w:type="dxa"/>
            <w:vMerge/>
            <w:tcBorders>
              <w:top w:val="single" w:sz="16" w:space="0" w:color="000000"/>
              <w:left w:val="single" w:sz="16" w:space="0" w:color="000000"/>
              <w:bottom w:val="single" w:sz="4" w:space="0" w:color="auto"/>
              <w:right w:val="nil"/>
            </w:tcBorders>
            <w:shd w:val="clear" w:color="auto" w:fill="FFFFFF"/>
          </w:tcPr>
          <w:p w:rsidR="00C92F56" w:rsidRPr="009967AA" w:rsidRDefault="00C92F56"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259" w:type="dxa"/>
            <w:tcBorders>
              <w:top w:val="nil"/>
              <w:left w:val="nil"/>
              <w:bottom w:val="single" w:sz="4" w:space="0" w:color="auto"/>
              <w:right w:val="single" w:sz="16" w:space="0" w:color="000000"/>
            </w:tcBorders>
            <w:shd w:val="clear" w:color="auto" w:fill="FFFFFF"/>
          </w:tcPr>
          <w:p w:rsidR="00C92F56" w:rsidRPr="009967AA" w:rsidRDefault="00906694"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Nilotinib</w:t>
            </w:r>
          </w:p>
        </w:tc>
        <w:tc>
          <w:tcPr>
            <w:tcW w:w="1843" w:type="dxa"/>
            <w:tcBorders>
              <w:top w:val="nil"/>
              <w:left w:val="single" w:sz="16" w:space="0" w:color="000000"/>
              <w:bottom w:val="single" w:sz="4" w:space="0" w:color="auto"/>
            </w:tcBorders>
            <w:shd w:val="clear" w:color="auto" w:fill="FFFFFF"/>
          </w:tcPr>
          <w:p w:rsidR="00C92F56" w:rsidRPr="009967AA" w:rsidRDefault="004726EA"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10   (35.7</w:t>
            </w:r>
            <w:r w:rsidR="00C92F56" w:rsidRPr="009967AA">
              <w:rPr>
                <w:rFonts w:asciiTheme="majorBidi" w:hAnsiTheme="majorBidi" w:cstheme="majorBidi"/>
                <w:color w:val="000000"/>
                <w:sz w:val="24"/>
                <w:szCs w:val="24"/>
              </w:rPr>
              <w:t>%)</w:t>
            </w:r>
          </w:p>
        </w:tc>
        <w:tc>
          <w:tcPr>
            <w:tcW w:w="40" w:type="dxa"/>
            <w:tcBorders>
              <w:top w:val="nil"/>
              <w:bottom w:val="single" w:sz="4" w:space="0" w:color="auto"/>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c>
          <w:tcPr>
            <w:tcW w:w="2550" w:type="dxa"/>
            <w:tcBorders>
              <w:top w:val="nil"/>
              <w:bottom w:val="single" w:sz="4" w:space="0" w:color="auto"/>
              <w:right w:val="single" w:sz="4" w:space="0" w:color="auto"/>
            </w:tcBorders>
            <w:shd w:val="clear" w:color="auto" w:fill="FFFFFF"/>
          </w:tcPr>
          <w:p w:rsidR="00C92F56" w:rsidRPr="009967AA" w:rsidRDefault="004726EA"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12    (42.8</w:t>
            </w:r>
            <w:r w:rsidR="00C92F56" w:rsidRPr="009967AA">
              <w:rPr>
                <w:rFonts w:asciiTheme="majorBidi" w:hAnsiTheme="majorBidi" w:cstheme="majorBidi"/>
                <w:color w:val="000000"/>
                <w:sz w:val="24"/>
                <w:szCs w:val="24"/>
              </w:rPr>
              <w:t>%)</w:t>
            </w:r>
          </w:p>
        </w:tc>
        <w:tc>
          <w:tcPr>
            <w:tcW w:w="953" w:type="dxa"/>
            <w:tcBorders>
              <w:top w:val="nil"/>
              <w:left w:val="single" w:sz="4" w:space="0" w:color="auto"/>
              <w:bottom w:val="single" w:sz="4" w:space="0" w:color="auto"/>
            </w:tcBorders>
            <w:shd w:val="clear" w:color="auto" w:fill="FFFFFF"/>
          </w:tcPr>
          <w:p w:rsidR="00C92F56" w:rsidRPr="009967AA" w:rsidRDefault="004726EA"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 xml:space="preserve">  6   (21.4%)</w:t>
            </w:r>
          </w:p>
        </w:tc>
        <w:tc>
          <w:tcPr>
            <w:tcW w:w="709" w:type="dxa"/>
            <w:tcBorders>
              <w:top w:val="nil"/>
              <w:bottom w:val="single" w:sz="4" w:space="0" w:color="auto"/>
              <w:right w:val="single" w:sz="16" w:space="0" w:color="000000"/>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28</w:t>
            </w:r>
          </w:p>
        </w:tc>
      </w:tr>
      <w:tr w:rsidR="00C92F56" w:rsidRPr="009967AA" w:rsidTr="00BB697C">
        <w:trPr>
          <w:cantSplit/>
          <w:jc w:val="center"/>
        </w:trPr>
        <w:tc>
          <w:tcPr>
            <w:tcW w:w="1418" w:type="dxa"/>
            <w:gridSpan w:val="2"/>
            <w:tcBorders>
              <w:top w:val="single" w:sz="4" w:space="0" w:color="auto"/>
              <w:left w:val="single" w:sz="16" w:space="0" w:color="000000"/>
              <w:bottom w:val="single" w:sz="16" w:space="0" w:color="000000"/>
              <w:right w:val="single" w:sz="16" w:space="0" w:color="000000"/>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c>
          <w:tcPr>
            <w:tcW w:w="1843" w:type="dxa"/>
            <w:tcBorders>
              <w:top w:val="single" w:sz="4" w:space="0" w:color="auto"/>
              <w:left w:val="single" w:sz="16" w:space="0" w:color="000000"/>
              <w:bottom w:val="single" w:sz="16" w:space="0" w:color="000000"/>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w:t>
            </w:r>
            <w:r w:rsidR="004726EA" w:rsidRPr="009967AA">
              <w:rPr>
                <w:rFonts w:asciiTheme="majorBidi" w:hAnsiTheme="majorBidi" w:cstheme="majorBidi"/>
                <w:color w:val="000000"/>
                <w:sz w:val="24"/>
                <w:szCs w:val="24"/>
              </w:rPr>
              <w:t>5</w:t>
            </w:r>
          </w:p>
        </w:tc>
        <w:tc>
          <w:tcPr>
            <w:tcW w:w="40" w:type="dxa"/>
            <w:tcBorders>
              <w:top w:val="single" w:sz="4" w:space="0" w:color="auto"/>
              <w:bottom w:val="single" w:sz="16" w:space="0" w:color="000000"/>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c>
          <w:tcPr>
            <w:tcW w:w="2550" w:type="dxa"/>
            <w:tcBorders>
              <w:top w:val="single" w:sz="4" w:space="0" w:color="auto"/>
              <w:bottom w:val="single" w:sz="16" w:space="0" w:color="000000"/>
              <w:right w:val="single" w:sz="4" w:space="0" w:color="auto"/>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4</w:t>
            </w:r>
            <w:r w:rsidR="004726EA" w:rsidRPr="009967AA">
              <w:rPr>
                <w:rFonts w:asciiTheme="majorBidi" w:hAnsiTheme="majorBidi" w:cstheme="majorBidi"/>
                <w:color w:val="000000"/>
                <w:sz w:val="24"/>
                <w:szCs w:val="24"/>
              </w:rPr>
              <w:t>4</w:t>
            </w:r>
          </w:p>
        </w:tc>
        <w:tc>
          <w:tcPr>
            <w:tcW w:w="953" w:type="dxa"/>
            <w:tcBorders>
              <w:top w:val="single" w:sz="4" w:space="0" w:color="auto"/>
              <w:left w:val="single" w:sz="4" w:space="0" w:color="auto"/>
              <w:bottom w:val="single" w:sz="16" w:space="0" w:color="000000"/>
            </w:tcBorders>
            <w:shd w:val="clear" w:color="auto" w:fill="FFFFFF"/>
          </w:tcPr>
          <w:p w:rsidR="00C92F56" w:rsidRPr="009967AA" w:rsidRDefault="004726EA"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15</w:t>
            </w:r>
          </w:p>
        </w:tc>
        <w:tc>
          <w:tcPr>
            <w:tcW w:w="709" w:type="dxa"/>
            <w:tcBorders>
              <w:top w:val="single" w:sz="4" w:space="0" w:color="auto"/>
              <w:bottom w:val="single" w:sz="16" w:space="0" w:color="000000"/>
              <w:right w:val="single" w:sz="16" w:space="0" w:color="000000"/>
            </w:tcBorders>
            <w:shd w:val="clear" w:color="auto" w:fill="FFFFFF"/>
          </w:tcPr>
          <w:p w:rsidR="00C92F56"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94</w:t>
            </w:r>
          </w:p>
        </w:tc>
      </w:tr>
    </w:tbl>
    <w:p w:rsidR="0095606B" w:rsidRPr="009967AA" w:rsidRDefault="0095606B" w:rsidP="009967AA">
      <w:pPr>
        <w:autoSpaceDE w:val="0"/>
        <w:autoSpaceDN w:val="0"/>
        <w:bidi w:val="0"/>
        <w:adjustRightInd w:val="0"/>
        <w:spacing w:after="0" w:line="240" w:lineRule="auto"/>
        <w:jc w:val="both"/>
        <w:rPr>
          <w:rFonts w:asciiTheme="majorBidi" w:hAnsiTheme="majorBidi" w:cstheme="majorBidi"/>
          <w:sz w:val="24"/>
          <w:szCs w:val="24"/>
        </w:rPr>
      </w:pPr>
    </w:p>
    <w:tbl>
      <w:tblPr>
        <w:tblW w:w="7515" w:type="dxa"/>
        <w:jc w:val="center"/>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961"/>
        <w:gridCol w:w="2403"/>
        <w:gridCol w:w="2404"/>
        <w:gridCol w:w="707"/>
      </w:tblGrid>
      <w:tr w:rsidR="00F70542" w:rsidRPr="009967AA" w:rsidTr="00BB697C">
        <w:trPr>
          <w:cantSplit/>
          <w:tblHeader/>
          <w:jc w:val="center"/>
        </w:trPr>
        <w:tc>
          <w:tcPr>
            <w:tcW w:w="7515" w:type="dxa"/>
            <w:gridSpan w:val="5"/>
            <w:tcBorders>
              <w:top w:val="nil"/>
              <w:left w:val="nil"/>
              <w:bottom w:val="nil"/>
              <w:right w:val="nil"/>
            </w:tcBorders>
            <w:shd w:val="clear" w:color="auto" w:fill="FFFFFF"/>
            <w:vAlign w:val="center"/>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70542" w:rsidRPr="009967AA" w:rsidTr="00BB697C">
        <w:trPr>
          <w:cantSplit/>
          <w:tblHeader/>
          <w:jc w:val="center"/>
        </w:trPr>
        <w:tc>
          <w:tcPr>
            <w:tcW w:w="7515" w:type="dxa"/>
            <w:gridSpan w:val="5"/>
            <w:tcBorders>
              <w:top w:val="nil"/>
              <w:left w:val="nil"/>
              <w:bottom w:val="nil"/>
              <w:right w:val="nil"/>
            </w:tcBorders>
            <w:shd w:val="clear" w:color="auto" w:fill="FFFFFF"/>
            <w:vAlign w:val="bottom"/>
          </w:tcPr>
          <w:p w:rsidR="00F70542" w:rsidRDefault="007220C4"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1F4A25">
              <w:rPr>
                <w:rFonts w:asciiTheme="majorBidi" w:hAnsiTheme="majorBidi" w:cstheme="majorBidi"/>
                <w:b/>
                <w:bCs/>
                <w:color w:val="000000"/>
                <w:sz w:val="24"/>
                <w:szCs w:val="24"/>
                <w:u w:val="single"/>
              </w:rPr>
              <w:t>Table 3</w:t>
            </w:r>
            <w:r w:rsidR="001F4A25" w:rsidRPr="001F4A25">
              <w:rPr>
                <w:rFonts w:asciiTheme="majorBidi" w:hAnsiTheme="majorBidi" w:cstheme="majorBidi"/>
                <w:b/>
                <w:bCs/>
                <w:color w:val="000000"/>
                <w:sz w:val="24"/>
                <w:szCs w:val="24"/>
                <w:u w:val="single"/>
              </w:rPr>
              <w:t>:</w:t>
            </w:r>
            <w:r w:rsidR="00CD2A7B" w:rsidRPr="009967AA">
              <w:rPr>
                <w:rFonts w:asciiTheme="majorBidi" w:hAnsiTheme="majorBidi" w:cstheme="majorBidi"/>
                <w:color w:val="000000"/>
                <w:sz w:val="24"/>
                <w:szCs w:val="24"/>
              </w:rPr>
              <w:t xml:space="preserve"> Mole</w:t>
            </w:r>
            <w:r w:rsidR="0095606B" w:rsidRPr="009967AA">
              <w:rPr>
                <w:rFonts w:asciiTheme="majorBidi" w:hAnsiTheme="majorBidi" w:cstheme="majorBidi"/>
                <w:color w:val="000000"/>
                <w:sz w:val="24"/>
                <w:szCs w:val="24"/>
              </w:rPr>
              <w:t>cular Response Rates to Imatinib</w:t>
            </w:r>
            <w:r w:rsidR="00CD2A7B" w:rsidRPr="009967AA">
              <w:rPr>
                <w:rFonts w:asciiTheme="majorBidi" w:hAnsiTheme="majorBidi" w:cstheme="majorBidi"/>
                <w:color w:val="000000"/>
                <w:sz w:val="24"/>
                <w:szCs w:val="24"/>
              </w:rPr>
              <w:t xml:space="preserve">and </w:t>
            </w:r>
            <w:r w:rsidR="0095606B" w:rsidRPr="009967AA">
              <w:rPr>
                <w:rFonts w:asciiTheme="majorBidi" w:hAnsiTheme="majorBidi" w:cstheme="majorBidi"/>
                <w:color w:val="000000"/>
                <w:sz w:val="24"/>
                <w:szCs w:val="24"/>
              </w:rPr>
              <w:t>Nilotinib</w:t>
            </w:r>
          </w:p>
          <w:p w:rsidR="001F4A25" w:rsidRPr="009967AA" w:rsidRDefault="001F4A25"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70542" w:rsidRPr="009967AA" w:rsidTr="00BB697C">
        <w:trPr>
          <w:cantSplit/>
          <w:tblHeader/>
          <w:jc w:val="center"/>
        </w:trPr>
        <w:tc>
          <w:tcPr>
            <w:tcW w:w="198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0542" w:rsidRPr="00BB697C" w:rsidRDefault="00D46799" w:rsidP="00BB697C">
            <w:pPr>
              <w:autoSpaceDE w:val="0"/>
              <w:autoSpaceDN w:val="0"/>
              <w:bidi w:val="0"/>
              <w:adjustRightInd w:val="0"/>
              <w:spacing w:after="0" w:line="240" w:lineRule="auto"/>
              <w:jc w:val="center"/>
              <w:rPr>
                <w:rFonts w:asciiTheme="majorBidi" w:hAnsiTheme="majorBidi" w:cstheme="majorBidi"/>
                <w:b/>
                <w:bCs/>
                <w:sz w:val="24"/>
                <w:szCs w:val="24"/>
              </w:rPr>
            </w:pPr>
            <w:r w:rsidRPr="00BB697C">
              <w:rPr>
                <w:rFonts w:asciiTheme="majorBidi" w:hAnsiTheme="majorBidi" w:cstheme="majorBidi"/>
                <w:b/>
                <w:bCs/>
                <w:sz w:val="24"/>
                <w:szCs w:val="24"/>
              </w:rPr>
              <w:t>Drug</w:t>
            </w:r>
          </w:p>
        </w:tc>
        <w:tc>
          <w:tcPr>
            <w:tcW w:w="4819" w:type="dxa"/>
            <w:gridSpan w:val="2"/>
            <w:tcBorders>
              <w:top w:val="single" w:sz="16" w:space="0" w:color="000000"/>
              <w:left w:val="single" w:sz="16" w:space="0" w:color="000000"/>
            </w:tcBorders>
            <w:shd w:val="clear" w:color="auto" w:fill="FFFFFF"/>
            <w:vAlign w:val="bottom"/>
          </w:tcPr>
          <w:p w:rsidR="00F70542" w:rsidRPr="00BB697C" w:rsidRDefault="00D46799" w:rsidP="00BB697C">
            <w:pPr>
              <w:autoSpaceDE w:val="0"/>
              <w:autoSpaceDN w:val="0"/>
              <w:bidi w:val="0"/>
              <w:adjustRightInd w:val="0"/>
              <w:spacing w:after="0" w:line="240" w:lineRule="auto"/>
              <w:ind w:left="60" w:right="60"/>
              <w:jc w:val="center"/>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M</w:t>
            </w:r>
            <w:r w:rsidR="00F70542" w:rsidRPr="00BB697C">
              <w:rPr>
                <w:rFonts w:asciiTheme="majorBidi" w:hAnsiTheme="majorBidi" w:cstheme="majorBidi"/>
                <w:b/>
                <w:bCs/>
                <w:color w:val="000000"/>
                <w:sz w:val="24"/>
                <w:szCs w:val="24"/>
              </w:rPr>
              <w:t>olecular</w:t>
            </w:r>
            <w:r w:rsidRPr="00BB697C">
              <w:rPr>
                <w:rFonts w:asciiTheme="majorBidi" w:hAnsiTheme="majorBidi" w:cstheme="majorBidi"/>
                <w:b/>
                <w:bCs/>
                <w:color w:val="000000"/>
                <w:sz w:val="24"/>
                <w:szCs w:val="24"/>
              </w:rPr>
              <w:t xml:space="preserve">  Response</w:t>
            </w:r>
          </w:p>
        </w:tc>
        <w:tc>
          <w:tcPr>
            <w:tcW w:w="709" w:type="dxa"/>
            <w:vMerge w:val="restart"/>
            <w:tcBorders>
              <w:top w:val="single" w:sz="16" w:space="0" w:color="000000"/>
              <w:bottom w:val="single" w:sz="16" w:space="0" w:color="000000"/>
              <w:right w:val="single" w:sz="16" w:space="0" w:color="000000"/>
            </w:tcBorders>
            <w:shd w:val="clear" w:color="auto" w:fill="FFFFFF"/>
            <w:vAlign w:val="bottom"/>
          </w:tcPr>
          <w:p w:rsidR="00F70542" w:rsidRPr="00BB697C" w:rsidRDefault="00F70542"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Total</w:t>
            </w:r>
          </w:p>
        </w:tc>
      </w:tr>
      <w:tr w:rsidR="00F70542" w:rsidRPr="009967AA" w:rsidTr="00BB697C">
        <w:trPr>
          <w:cantSplit/>
          <w:tblHeader/>
          <w:jc w:val="center"/>
        </w:trPr>
        <w:tc>
          <w:tcPr>
            <w:tcW w:w="1987"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2409" w:type="dxa"/>
            <w:tcBorders>
              <w:left w:val="single" w:sz="16" w:space="0" w:color="000000"/>
              <w:bottom w:val="single" w:sz="16" w:space="0" w:color="000000"/>
            </w:tcBorders>
            <w:shd w:val="clear" w:color="auto" w:fill="FFFFFF"/>
            <w:vAlign w:val="bottom"/>
          </w:tcPr>
          <w:p w:rsidR="00F70542" w:rsidRPr="00BB697C" w:rsidRDefault="00D46799" w:rsidP="00BB697C">
            <w:pPr>
              <w:autoSpaceDE w:val="0"/>
              <w:autoSpaceDN w:val="0"/>
              <w:bidi w:val="0"/>
              <w:adjustRightInd w:val="0"/>
              <w:spacing w:after="0" w:line="240" w:lineRule="auto"/>
              <w:ind w:left="60" w:right="60"/>
              <w:jc w:val="center"/>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MMR</w:t>
            </w:r>
          </w:p>
        </w:tc>
        <w:tc>
          <w:tcPr>
            <w:tcW w:w="2410" w:type="dxa"/>
            <w:tcBorders>
              <w:bottom w:val="single" w:sz="16" w:space="0" w:color="000000"/>
            </w:tcBorders>
            <w:shd w:val="clear" w:color="auto" w:fill="FFFFFF"/>
            <w:vAlign w:val="bottom"/>
          </w:tcPr>
          <w:p w:rsidR="00F70542" w:rsidRPr="00BB697C" w:rsidRDefault="00D46799" w:rsidP="00BB697C">
            <w:pPr>
              <w:autoSpaceDE w:val="0"/>
              <w:autoSpaceDN w:val="0"/>
              <w:bidi w:val="0"/>
              <w:adjustRightInd w:val="0"/>
              <w:spacing w:after="0" w:line="240" w:lineRule="auto"/>
              <w:ind w:left="60" w:right="60"/>
              <w:jc w:val="center"/>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Failure</w:t>
            </w:r>
          </w:p>
        </w:tc>
        <w:tc>
          <w:tcPr>
            <w:tcW w:w="709" w:type="dxa"/>
            <w:vMerge/>
            <w:tcBorders>
              <w:top w:val="single" w:sz="16" w:space="0" w:color="000000"/>
              <w:bottom w:val="single" w:sz="16" w:space="0" w:color="000000"/>
              <w:right w:val="single" w:sz="16" w:space="0" w:color="000000"/>
            </w:tcBorders>
            <w:shd w:val="clear" w:color="auto" w:fill="FFFFFF"/>
            <w:vAlign w:val="bottom"/>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r>
      <w:tr w:rsidR="00F70542" w:rsidRPr="009967AA" w:rsidTr="00BB697C">
        <w:trPr>
          <w:cantSplit/>
          <w:tblHeader/>
          <w:jc w:val="center"/>
        </w:trPr>
        <w:tc>
          <w:tcPr>
            <w:tcW w:w="20" w:type="dxa"/>
            <w:vMerge w:val="restart"/>
            <w:tcBorders>
              <w:top w:val="single" w:sz="16" w:space="0" w:color="000000"/>
              <w:left w:val="single" w:sz="16" w:space="0" w:color="000000"/>
              <w:bottom w:val="nil"/>
              <w:right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c>
          <w:tcPr>
            <w:tcW w:w="1967" w:type="dxa"/>
            <w:tcBorders>
              <w:top w:val="single" w:sz="16" w:space="0" w:color="000000"/>
              <w:left w:val="nil"/>
              <w:bottom w:val="nil"/>
              <w:right w:val="single" w:sz="16" w:space="0" w:color="000000"/>
            </w:tcBorders>
            <w:shd w:val="clear" w:color="auto" w:fill="FFFFFF"/>
          </w:tcPr>
          <w:p w:rsidR="00F70542" w:rsidRPr="009967AA" w:rsidRDefault="0095606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Imatinib</w:t>
            </w:r>
          </w:p>
        </w:tc>
        <w:tc>
          <w:tcPr>
            <w:tcW w:w="2409" w:type="dxa"/>
            <w:tcBorders>
              <w:top w:val="single" w:sz="16" w:space="0" w:color="000000"/>
              <w:left w:val="single" w:sz="16" w:space="0" w:color="000000"/>
              <w:bottom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48</w:t>
            </w:r>
            <w:r w:rsidR="00D46799" w:rsidRPr="009967AA">
              <w:rPr>
                <w:rFonts w:asciiTheme="majorBidi" w:hAnsiTheme="majorBidi" w:cstheme="majorBidi"/>
                <w:color w:val="000000"/>
                <w:sz w:val="24"/>
                <w:szCs w:val="24"/>
              </w:rPr>
              <w:t xml:space="preserve">    (72.7%)</w:t>
            </w:r>
          </w:p>
        </w:tc>
        <w:tc>
          <w:tcPr>
            <w:tcW w:w="2410" w:type="dxa"/>
            <w:tcBorders>
              <w:top w:val="single" w:sz="16" w:space="0" w:color="000000"/>
              <w:bottom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18</w:t>
            </w:r>
            <w:r w:rsidR="00F672F7" w:rsidRPr="009967AA">
              <w:rPr>
                <w:rFonts w:asciiTheme="majorBidi" w:hAnsiTheme="majorBidi" w:cstheme="majorBidi"/>
                <w:color w:val="000000"/>
                <w:sz w:val="24"/>
                <w:szCs w:val="24"/>
              </w:rPr>
              <w:t xml:space="preserve">    (27.3</w:t>
            </w:r>
            <w:r w:rsidR="00D46799" w:rsidRPr="009967AA">
              <w:rPr>
                <w:rFonts w:asciiTheme="majorBidi" w:hAnsiTheme="majorBidi" w:cstheme="majorBidi"/>
                <w:color w:val="000000"/>
                <w:sz w:val="24"/>
                <w:szCs w:val="24"/>
              </w:rPr>
              <w:t>%)</w:t>
            </w:r>
          </w:p>
        </w:tc>
        <w:tc>
          <w:tcPr>
            <w:tcW w:w="709" w:type="dxa"/>
            <w:tcBorders>
              <w:top w:val="single" w:sz="16" w:space="0" w:color="000000"/>
              <w:bottom w:val="nil"/>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66</w:t>
            </w:r>
          </w:p>
        </w:tc>
      </w:tr>
      <w:tr w:rsidR="00F70542" w:rsidRPr="009967AA" w:rsidTr="00BB697C">
        <w:trPr>
          <w:cantSplit/>
          <w:tblHeader/>
          <w:jc w:val="center"/>
        </w:trPr>
        <w:tc>
          <w:tcPr>
            <w:tcW w:w="20" w:type="dxa"/>
            <w:vMerge/>
            <w:tcBorders>
              <w:top w:val="single" w:sz="16" w:space="0" w:color="000000"/>
              <w:left w:val="single" w:sz="16" w:space="0" w:color="000000"/>
              <w:bottom w:val="single" w:sz="4" w:space="0" w:color="auto"/>
              <w:right w:val="nil"/>
            </w:tcBorders>
            <w:shd w:val="clear" w:color="auto" w:fill="FFFFFF"/>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967" w:type="dxa"/>
            <w:tcBorders>
              <w:top w:val="nil"/>
              <w:left w:val="nil"/>
              <w:bottom w:val="single" w:sz="4" w:space="0" w:color="auto"/>
              <w:right w:val="single" w:sz="16" w:space="0" w:color="000000"/>
            </w:tcBorders>
            <w:shd w:val="clear" w:color="auto" w:fill="FFFFFF"/>
          </w:tcPr>
          <w:p w:rsidR="00F70542" w:rsidRPr="009967AA" w:rsidRDefault="0095606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Nilotinib</w:t>
            </w:r>
          </w:p>
        </w:tc>
        <w:tc>
          <w:tcPr>
            <w:tcW w:w="2409" w:type="dxa"/>
            <w:tcBorders>
              <w:top w:val="nil"/>
              <w:left w:val="single" w:sz="16" w:space="0" w:color="000000"/>
              <w:bottom w:val="single" w:sz="4" w:space="0" w:color="auto"/>
            </w:tcBorders>
            <w:shd w:val="clear" w:color="auto" w:fill="FFFFFF"/>
          </w:tcPr>
          <w:p w:rsidR="00F70542" w:rsidRPr="009967AA" w:rsidRDefault="001774F7"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 xml:space="preserve">15   (53.5 </w:t>
            </w:r>
            <w:r w:rsidR="00D46799" w:rsidRPr="009967AA">
              <w:rPr>
                <w:rFonts w:asciiTheme="majorBidi" w:hAnsiTheme="majorBidi" w:cstheme="majorBidi"/>
                <w:color w:val="000000"/>
                <w:sz w:val="24"/>
                <w:szCs w:val="24"/>
              </w:rPr>
              <w:t>%)</w:t>
            </w:r>
          </w:p>
        </w:tc>
        <w:tc>
          <w:tcPr>
            <w:tcW w:w="2410" w:type="dxa"/>
            <w:tcBorders>
              <w:top w:val="nil"/>
              <w:bottom w:val="single" w:sz="4" w:space="0" w:color="auto"/>
            </w:tcBorders>
            <w:shd w:val="clear" w:color="auto" w:fill="FFFFFF"/>
          </w:tcPr>
          <w:p w:rsidR="00F70542" w:rsidRPr="009967AA" w:rsidRDefault="001774F7"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13</w:t>
            </w:r>
            <w:r w:rsidR="00F672F7" w:rsidRPr="009967AA">
              <w:rPr>
                <w:rFonts w:asciiTheme="majorBidi" w:hAnsiTheme="majorBidi" w:cstheme="majorBidi"/>
                <w:color w:val="000000"/>
                <w:sz w:val="24"/>
                <w:szCs w:val="24"/>
              </w:rPr>
              <w:t xml:space="preserve">  (46.5</w:t>
            </w:r>
            <w:r w:rsidR="00D46799" w:rsidRPr="009967AA">
              <w:rPr>
                <w:rFonts w:asciiTheme="majorBidi" w:hAnsiTheme="majorBidi" w:cstheme="majorBidi"/>
                <w:color w:val="000000"/>
                <w:sz w:val="24"/>
                <w:szCs w:val="24"/>
              </w:rPr>
              <w:t>%)</w:t>
            </w:r>
          </w:p>
        </w:tc>
        <w:tc>
          <w:tcPr>
            <w:tcW w:w="709" w:type="dxa"/>
            <w:tcBorders>
              <w:top w:val="nil"/>
              <w:bottom w:val="single" w:sz="4" w:space="0" w:color="auto"/>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28</w:t>
            </w:r>
          </w:p>
        </w:tc>
      </w:tr>
      <w:tr w:rsidR="00F70542" w:rsidRPr="009967AA" w:rsidTr="00BB697C">
        <w:trPr>
          <w:cantSplit/>
          <w:jc w:val="center"/>
        </w:trPr>
        <w:tc>
          <w:tcPr>
            <w:tcW w:w="1987" w:type="dxa"/>
            <w:gridSpan w:val="2"/>
            <w:tcBorders>
              <w:top w:val="single" w:sz="4" w:space="0" w:color="auto"/>
              <w:left w:val="single" w:sz="16" w:space="0" w:color="000000"/>
              <w:bottom w:val="single" w:sz="16" w:space="0" w:color="000000"/>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c>
          <w:tcPr>
            <w:tcW w:w="2409" w:type="dxa"/>
            <w:tcBorders>
              <w:top w:val="single" w:sz="4" w:space="0" w:color="auto"/>
              <w:left w:val="single" w:sz="16" w:space="0" w:color="000000"/>
              <w:bottom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w:t>
            </w:r>
            <w:r w:rsidR="001774F7" w:rsidRPr="009967AA">
              <w:rPr>
                <w:rFonts w:asciiTheme="majorBidi" w:hAnsiTheme="majorBidi" w:cstheme="majorBidi"/>
                <w:color w:val="000000"/>
                <w:sz w:val="24"/>
                <w:szCs w:val="24"/>
              </w:rPr>
              <w:t>3</w:t>
            </w:r>
          </w:p>
        </w:tc>
        <w:tc>
          <w:tcPr>
            <w:tcW w:w="2410" w:type="dxa"/>
            <w:tcBorders>
              <w:top w:val="single" w:sz="4" w:space="0" w:color="auto"/>
              <w:bottom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w:t>
            </w:r>
            <w:r w:rsidR="001774F7" w:rsidRPr="009967AA">
              <w:rPr>
                <w:rFonts w:asciiTheme="majorBidi" w:hAnsiTheme="majorBidi" w:cstheme="majorBidi"/>
                <w:color w:val="000000"/>
                <w:sz w:val="24"/>
                <w:szCs w:val="24"/>
              </w:rPr>
              <w:t>1</w:t>
            </w:r>
          </w:p>
        </w:tc>
        <w:tc>
          <w:tcPr>
            <w:tcW w:w="709" w:type="dxa"/>
            <w:tcBorders>
              <w:top w:val="single" w:sz="4" w:space="0" w:color="auto"/>
              <w:bottom w:val="single" w:sz="16" w:space="0" w:color="000000"/>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94</w:t>
            </w:r>
          </w:p>
        </w:tc>
      </w:tr>
    </w:tbl>
    <w:p w:rsidR="00F70542" w:rsidRDefault="00F70542" w:rsidP="009967AA">
      <w:pPr>
        <w:autoSpaceDE w:val="0"/>
        <w:autoSpaceDN w:val="0"/>
        <w:bidi w:val="0"/>
        <w:adjustRightInd w:val="0"/>
        <w:spacing w:after="0" w:line="240" w:lineRule="auto"/>
        <w:jc w:val="both"/>
        <w:rPr>
          <w:rFonts w:asciiTheme="majorBidi" w:hAnsiTheme="majorBidi" w:cstheme="majorBidi"/>
          <w:sz w:val="24"/>
          <w:szCs w:val="24"/>
        </w:rPr>
      </w:pPr>
    </w:p>
    <w:p w:rsidR="001F4A25" w:rsidRDefault="001F4A25" w:rsidP="001F4A25">
      <w:pPr>
        <w:autoSpaceDE w:val="0"/>
        <w:autoSpaceDN w:val="0"/>
        <w:bidi w:val="0"/>
        <w:adjustRightInd w:val="0"/>
        <w:spacing w:after="0" w:line="240" w:lineRule="auto"/>
        <w:jc w:val="both"/>
        <w:rPr>
          <w:rFonts w:asciiTheme="majorBidi" w:hAnsiTheme="majorBidi" w:cstheme="majorBidi"/>
          <w:sz w:val="24"/>
          <w:szCs w:val="24"/>
        </w:rPr>
      </w:pPr>
    </w:p>
    <w:tbl>
      <w:tblPr>
        <w:tblW w:w="6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12"/>
        <w:gridCol w:w="1482"/>
        <w:gridCol w:w="1701"/>
        <w:gridCol w:w="1701"/>
        <w:gridCol w:w="850"/>
      </w:tblGrid>
      <w:tr w:rsidR="00F70542" w:rsidRPr="009967AA" w:rsidTr="00BB697C">
        <w:trPr>
          <w:cantSplit/>
          <w:tblHeader/>
          <w:jc w:val="center"/>
        </w:trPr>
        <w:tc>
          <w:tcPr>
            <w:tcW w:w="6946" w:type="dxa"/>
            <w:gridSpan w:val="5"/>
            <w:tcBorders>
              <w:top w:val="nil"/>
              <w:left w:val="nil"/>
              <w:bottom w:val="nil"/>
              <w:right w:val="nil"/>
            </w:tcBorders>
            <w:shd w:val="clear" w:color="auto" w:fill="FFFFFF"/>
            <w:vAlign w:val="bottom"/>
          </w:tcPr>
          <w:p w:rsidR="00F70542" w:rsidRDefault="007220C4"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1F4A25">
              <w:rPr>
                <w:rFonts w:asciiTheme="majorBidi" w:hAnsiTheme="majorBidi" w:cstheme="majorBidi"/>
                <w:b/>
                <w:bCs/>
                <w:color w:val="000000"/>
                <w:sz w:val="24"/>
                <w:szCs w:val="24"/>
                <w:u w:val="single"/>
              </w:rPr>
              <w:t>Table 4</w:t>
            </w:r>
            <w:r w:rsidR="001F4A25" w:rsidRPr="001F4A25">
              <w:rPr>
                <w:rFonts w:asciiTheme="majorBidi" w:hAnsiTheme="majorBidi" w:cstheme="majorBidi"/>
                <w:b/>
                <w:bCs/>
                <w:color w:val="000000"/>
                <w:sz w:val="24"/>
                <w:szCs w:val="24"/>
                <w:u w:val="single"/>
              </w:rPr>
              <w:t>:</w:t>
            </w:r>
            <w:r w:rsidR="00CD2A7B" w:rsidRPr="009967AA">
              <w:rPr>
                <w:rFonts w:asciiTheme="majorBidi" w:hAnsiTheme="majorBidi" w:cstheme="majorBidi"/>
                <w:color w:val="000000"/>
                <w:sz w:val="24"/>
                <w:szCs w:val="24"/>
              </w:rPr>
              <w:t xml:space="preserve"> Associations between molecular and  cytogenetic Responses Rates</w:t>
            </w:r>
          </w:p>
          <w:p w:rsidR="001F4A25" w:rsidRPr="009967AA" w:rsidRDefault="001F4A25"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70542" w:rsidRPr="009967AA" w:rsidTr="00BB697C">
        <w:trPr>
          <w:cantSplit/>
          <w:tblHeader/>
          <w:jc w:val="cent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sz w:val="24"/>
                <w:szCs w:val="24"/>
              </w:rPr>
            </w:pPr>
          </w:p>
        </w:tc>
        <w:tc>
          <w:tcPr>
            <w:tcW w:w="3402" w:type="dxa"/>
            <w:gridSpan w:val="2"/>
            <w:tcBorders>
              <w:top w:val="single" w:sz="16" w:space="0" w:color="000000"/>
              <w:left w:val="single" w:sz="16" w:space="0" w:color="000000"/>
            </w:tcBorders>
            <w:shd w:val="clear" w:color="auto" w:fill="FFFFFF"/>
            <w:vAlign w:val="bottom"/>
          </w:tcPr>
          <w:p w:rsidR="00F70542" w:rsidRPr="009967AA" w:rsidRDefault="00C21A4F" w:rsidP="00BB697C">
            <w:pPr>
              <w:autoSpaceDE w:val="0"/>
              <w:autoSpaceDN w:val="0"/>
              <w:bidi w:val="0"/>
              <w:adjustRightInd w:val="0"/>
              <w:spacing w:after="0" w:line="240" w:lineRule="auto"/>
              <w:ind w:left="60" w:right="60"/>
              <w:jc w:val="center"/>
              <w:rPr>
                <w:rFonts w:asciiTheme="majorBidi" w:hAnsiTheme="majorBidi" w:cstheme="majorBidi"/>
                <w:color w:val="000000"/>
                <w:sz w:val="24"/>
                <w:szCs w:val="24"/>
              </w:rPr>
            </w:pPr>
            <w:r w:rsidRPr="009967AA">
              <w:rPr>
                <w:rFonts w:asciiTheme="majorBidi" w:hAnsiTheme="majorBidi" w:cstheme="majorBidi"/>
                <w:color w:val="000000"/>
                <w:sz w:val="24"/>
                <w:szCs w:val="24"/>
              </w:rPr>
              <w:t>M</w:t>
            </w:r>
            <w:r w:rsidR="00F70542" w:rsidRPr="009967AA">
              <w:rPr>
                <w:rFonts w:asciiTheme="majorBidi" w:hAnsiTheme="majorBidi" w:cstheme="majorBidi"/>
                <w:color w:val="000000"/>
                <w:sz w:val="24"/>
                <w:szCs w:val="24"/>
              </w:rPr>
              <w:t>olecular</w:t>
            </w:r>
            <w:r w:rsidRPr="009967AA">
              <w:rPr>
                <w:rFonts w:asciiTheme="majorBidi" w:hAnsiTheme="majorBidi" w:cstheme="majorBidi"/>
                <w:color w:val="000000"/>
                <w:sz w:val="24"/>
                <w:szCs w:val="24"/>
              </w:rPr>
              <w:t xml:space="preserve">  Response</w:t>
            </w:r>
          </w:p>
        </w:tc>
        <w:tc>
          <w:tcPr>
            <w:tcW w:w="850" w:type="dxa"/>
            <w:vMerge w:val="restart"/>
            <w:tcBorders>
              <w:top w:val="single" w:sz="16" w:space="0" w:color="000000"/>
              <w:bottom w:val="single" w:sz="16" w:space="0" w:color="000000"/>
              <w:right w:val="single" w:sz="16" w:space="0" w:color="000000"/>
            </w:tcBorders>
            <w:shd w:val="clear" w:color="auto" w:fill="FFFFFF"/>
            <w:vAlign w:val="bottom"/>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r>
      <w:tr w:rsidR="00F70542" w:rsidRPr="009967AA" w:rsidTr="00BB697C">
        <w:trPr>
          <w:cantSplit/>
          <w:tblHeader/>
          <w:jc w:val="cent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701" w:type="dxa"/>
            <w:tcBorders>
              <w:left w:val="single" w:sz="16" w:space="0" w:color="000000"/>
              <w:bottom w:val="single" w:sz="16" w:space="0" w:color="000000"/>
            </w:tcBorders>
            <w:shd w:val="clear" w:color="auto" w:fill="FFFFFF"/>
            <w:vAlign w:val="bottom"/>
          </w:tcPr>
          <w:p w:rsidR="00F70542"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MMR</w:t>
            </w:r>
          </w:p>
        </w:tc>
        <w:tc>
          <w:tcPr>
            <w:tcW w:w="1701" w:type="dxa"/>
            <w:tcBorders>
              <w:bottom w:val="single" w:sz="16" w:space="0" w:color="000000"/>
            </w:tcBorders>
            <w:shd w:val="clear" w:color="auto" w:fill="FFFFFF"/>
            <w:vAlign w:val="bottom"/>
          </w:tcPr>
          <w:p w:rsidR="00F70542"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NO MMR</w:t>
            </w:r>
          </w:p>
        </w:tc>
        <w:tc>
          <w:tcPr>
            <w:tcW w:w="850" w:type="dxa"/>
            <w:vMerge/>
            <w:tcBorders>
              <w:top w:val="single" w:sz="16" w:space="0" w:color="000000"/>
              <w:bottom w:val="single" w:sz="16" w:space="0" w:color="000000"/>
              <w:right w:val="single" w:sz="16" w:space="0" w:color="000000"/>
            </w:tcBorders>
            <w:shd w:val="clear" w:color="auto" w:fill="FFFFFF"/>
            <w:vAlign w:val="bottom"/>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r>
      <w:tr w:rsidR="00F70542" w:rsidRPr="009967AA" w:rsidTr="00BB697C">
        <w:trPr>
          <w:cantSplit/>
          <w:tblHeader/>
          <w:jc w:val="center"/>
        </w:trPr>
        <w:tc>
          <w:tcPr>
            <w:tcW w:w="1212" w:type="dxa"/>
            <w:vMerge w:val="restart"/>
            <w:tcBorders>
              <w:top w:val="single" w:sz="16" w:space="0" w:color="000000"/>
              <w:left w:val="single" w:sz="16" w:space="0" w:color="000000"/>
              <w:bottom w:val="nil"/>
              <w:right w:val="nil"/>
            </w:tcBorders>
            <w:shd w:val="clear" w:color="auto" w:fill="FFFFFF"/>
          </w:tcPr>
          <w:p w:rsidR="00F70542"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C</w:t>
            </w:r>
            <w:r w:rsidR="00F70542" w:rsidRPr="009967AA">
              <w:rPr>
                <w:rFonts w:asciiTheme="majorBidi" w:hAnsiTheme="majorBidi" w:cstheme="majorBidi"/>
                <w:color w:val="000000"/>
                <w:sz w:val="24"/>
                <w:szCs w:val="24"/>
              </w:rPr>
              <w:t>ytogenetic</w:t>
            </w:r>
          </w:p>
        </w:tc>
        <w:tc>
          <w:tcPr>
            <w:tcW w:w="1482" w:type="dxa"/>
            <w:tcBorders>
              <w:top w:val="single" w:sz="16" w:space="0" w:color="000000"/>
              <w:left w:val="nil"/>
              <w:bottom w:val="nil"/>
              <w:right w:val="single" w:sz="16" w:space="0" w:color="000000"/>
            </w:tcBorders>
            <w:shd w:val="clear" w:color="auto" w:fill="FFFFFF"/>
          </w:tcPr>
          <w:p w:rsidR="00F70542" w:rsidRPr="009967AA" w:rsidRDefault="00C92F56"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 xml:space="preserve"> Optimal</w:t>
            </w:r>
            <w:r w:rsidR="007615A4" w:rsidRPr="009967AA">
              <w:rPr>
                <w:rFonts w:asciiTheme="majorBidi" w:hAnsiTheme="majorBidi" w:cstheme="majorBidi"/>
                <w:color w:val="000000"/>
                <w:sz w:val="24"/>
                <w:szCs w:val="24"/>
              </w:rPr>
              <w:t xml:space="preserve">  R.</w:t>
            </w:r>
          </w:p>
        </w:tc>
        <w:tc>
          <w:tcPr>
            <w:tcW w:w="1701" w:type="dxa"/>
            <w:tcBorders>
              <w:top w:val="single" w:sz="16" w:space="0" w:color="000000"/>
              <w:left w:val="single" w:sz="16" w:space="0" w:color="000000"/>
              <w:bottom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28</w:t>
            </w:r>
            <w:r w:rsidR="00F3347A" w:rsidRPr="009967AA">
              <w:rPr>
                <w:rFonts w:asciiTheme="majorBidi" w:hAnsiTheme="majorBidi" w:cstheme="majorBidi"/>
                <w:color w:val="000000"/>
                <w:sz w:val="24"/>
                <w:szCs w:val="24"/>
              </w:rPr>
              <w:t xml:space="preserve">  (90.</w:t>
            </w:r>
            <w:r w:rsidR="00A866A7" w:rsidRPr="009967AA">
              <w:rPr>
                <w:rFonts w:asciiTheme="majorBidi" w:hAnsiTheme="majorBidi" w:cstheme="majorBidi"/>
                <w:color w:val="000000"/>
                <w:sz w:val="24"/>
                <w:szCs w:val="24"/>
              </w:rPr>
              <w:t>4</w:t>
            </w:r>
            <w:r w:rsidR="00F3347A" w:rsidRPr="009967AA">
              <w:rPr>
                <w:rFonts w:asciiTheme="majorBidi" w:hAnsiTheme="majorBidi" w:cstheme="majorBidi"/>
                <w:color w:val="000000"/>
                <w:sz w:val="24"/>
                <w:szCs w:val="24"/>
              </w:rPr>
              <w:t>%)</w:t>
            </w:r>
          </w:p>
        </w:tc>
        <w:tc>
          <w:tcPr>
            <w:tcW w:w="1701" w:type="dxa"/>
            <w:tcBorders>
              <w:top w:val="single" w:sz="16" w:space="0" w:color="000000"/>
              <w:bottom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w:t>
            </w:r>
            <w:r w:rsidR="00A866A7" w:rsidRPr="009967AA">
              <w:rPr>
                <w:rFonts w:asciiTheme="majorBidi" w:hAnsiTheme="majorBidi" w:cstheme="majorBidi"/>
                <w:color w:val="000000"/>
                <w:sz w:val="24"/>
                <w:szCs w:val="24"/>
              </w:rPr>
              <w:t xml:space="preserve">     (9.6%)</w:t>
            </w:r>
          </w:p>
        </w:tc>
        <w:tc>
          <w:tcPr>
            <w:tcW w:w="850" w:type="dxa"/>
            <w:tcBorders>
              <w:top w:val="single" w:sz="16" w:space="0" w:color="000000"/>
              <w:bottom w:val="nil"/>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31</w:t>
            </w:r>
          </w:p>
        </w:tc>
      </w:tr>
      <w:tr w:rsidR="00F70542" w:rsidRPr="009967AA" w:rsidTr="00BB697C">
        <w:trPr>
          <w:cantSplit/>
          <w:tblHeader/>
          <w:jc w:val="center"/>
        </w:trPr>
        <w:tc>
          <w:tcPr>
            <w:tcW w:w="1212" w:type="dxa"/>
            <w:vMerge/>
            <w:tcBorders>
              <w:top w:val="single" w:sz="16" w:space="0" w:color="000000"/>
              <w:left w:val="single" w:sz="16" w:space="0" w:color="000000"/>
              <w:bottom w:val="nil"/>
              <w:right w:val="nil"/>
            </w:tcBorders>
            <w:shd w:val="clear" w:color="auto" w:fill="FFFFFF"/>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482" w:type="dxa"/>
            <w:tcBorders>
              <w:top w:val="nil"/>
              <w:left w:val="nil"/>
              <w:bottom w:val="nil"/>
              <w:right w:val="single" w:sz="16" w:space="0" w:color="000000"/>
            </w:tcBorders>
            <w:shd w:val="clear" w:color="auto" w:fill="FFFFFF"/>
          </w:tcPr>
          <w:p w:rsidR="00F70542" w:rsidRPr="009967AA" w:rsidRDefault="00C92F56"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Failure</w:t>
            </w:r>
          </w:p>
        </w:tc>
        <w:tc>
          <w:tcPr>
            <w:tcW w:w="1701" w:type="dxa"/>
            <w:tcBorders>
              <w:top w:val="nil"/>
              <w:left w:val="single" w:sz="16" w:space="0" w:color="000000"/>
              <w:bottom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0</w:t>
            </w:r>
          </w:p>
        </w:tc>
        <w:tc>
          <w:tcPr>
            <w:tcW w:w="1701" w:type="dxa"/>
            <w:tcBorders>
              <w:top w:val="nil"/>
              <w:bottom w:val="nil"/>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21</w:t>
            </w:r>
            <w:r w:rsidR="00A866A7" w:rsidRPr="009967AA">
              <w:rPr>
                <w:rFonts w:asciiTheme="majorBidi" w:hAnsiTheme="majorBidi" w:cstheme="majorBidi"/>
                <w:color w:val="000000"/>
                <w:sz w:val="24"/>
                <w:szCs w:val="24"/>
              </w:rPr>
              <w:t xml:space="preserve">   (100%)</w:t>
            </w:r>
          </w:p>
        </w:tc>
        <w:tc>
          <w:tcPr>
            <w:tcW w:w="850" w:type="dxa"/>
            <w:tcBorders>
              <w:top w:val="nil"/>
              <w:bottom w:val="nil"/>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21</w:t>
            </w:r>
          </w:p>
        </w:tc>
      </w:tr>
      <w:tr w:rsidR="00F70542" w:rsidRPr="009967AA" w:rsidTr="00BB697C">
        <w:trPr>
          <w:cantSplit/>
          <w:tblHeader/>
          <w:jc w:val="center"/>
        </w:trPr>
        <w:tc>
          <w:tcPr>
            <w:tcW w:w="1212" w:type="dxa"/>
            <w:vMerge/>
            <w:tcBorders>
              <w:top w:val="single" w:sz="16" w:space="0" w:color="000000"/>
              <w:left w:val="single" w:sz="16" w:space="0" w:color="000000"/>
              <w:bottom w:val="single" w:sz="4" w:space="0" w:color="auto"/>
              <w:right w:val="nil"/>
            </w:tcBorders>
            <w:shd w:val="clear" w:color="auto" w:fill="FFFFFF"/>
          </w:tcPr>
          <w:p w:rsidR="00F70542" w:rsidRPr="009967AA" w:rsidRDefault="00F70542"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482" w:type="dxa"/>
            <w:tcBorders>
              <w:top w:val="nil"/>
              <w:left w:val="nil"/>
              <w:bottom w:val="single" w:sz="4" w:space="0" w:color="auto"/>
              <w:right w:val="single" w:sz="16" w:space="0" w:color="000000"/>
            </w:tcBorders>
            <w:shd w:val="clear" w:color="auto" w:fill="FFFFFF"/>
          </w:tcPr>
          <w:p w:rsidR="00F70542" w:rsidRPr="009967AA" w:rsidRDefault="00C92F56"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 xml:space="preserve">  Delayed</w:t>
            </w:r>
            <w:r w:rsidR="007615A4" w:rsidRPr="009967AA">
              <w:rPr>
                <w:rFonts w:asciiTheme="majorBidi" w:hAnsiTheme="majorBidi" w:cstheme="majorBidi"/>
                <w:color w:val="000000"/>
                <w:sz w:val="24"/>
                <w:szCs w:val="24"/>
              </w:rPr>
              <w:t xml:space="preserve">  R.</w:t>
            </w:r>
          </w:p>
        </w:tc>
        <w:tc>
          <w:tcPr>
            <w:tcW w:w="1701" w:type="dxa"/>
            <w:tcBorders>
              <w:top w:val="nil"/>
              <w:left w:val="single" w:sz="16" w:space="0" w:color="000000"/>
              <w:bottom w:val="single" w:sz="4" w:space="0" w:color="auto"/>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34</w:t>
            </w:r>
            <w:r w:rsidR="00F3347A" w:rsidRPr="009967AA">
              <w:rPr>
                <w:rFonts w:asciiTheme="majorBidi" w:hAnsiTheme="majorBidi" w:cstheme="majorBidi"/>
                <w:color w:val="000000"/>
                <w:sz w:val="24"/>
                <w:szCs w:val="24"/>
              </w:rPr>
              <w:t xml:space="preserve"> (80.9%)</w:t>
            </w:r>
          </w:p>
        </w:tc>
        <w:tc>
          <w:tcPr>
            <w:tcW w:w="1701" w:type="dxa"/>
            <w:tcBorders>
              <w:top w:val="nil"/>
              <w:bottom w:val="single" w:sz="4" w:space="0" w:color="auto"/>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8</w:t>
            </w:r>
            <w:r w:rsidR="00A866A7" w:rsidRPr="009967AA">
              <w:rPr>
                <w:rFonts w:asciiTheme="majorBidi" w:hAnsiTheme="majorBidi" w:cstheme="majorBidi"/>
                <w:color w:val="000000"/>
                <w:sz w:val="24"/>
                <w:szCs w:val="24"/>
              </w:rPr>
              <w:t xml:space="preserve">     (19.1%)</w:t>
            </w:r>
          </w:p>
        </w:tc>
        <w:tc>
          <w:tcPr>
            <w:tcW w:w="850" w:type="dxa"/>
            <w:tcBorders>
              <w:top w:val="nil"/>
              <w:bottom w:val="single" w:sz="4" w:space="0" w:color="auto"/>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42</w:t>
            </w:r>
          </w:p>
        </w:tc>
      </w:tr>
      <w:tr w:rsidR="00F70542" w:rsidRPr="009967AA" w:rsidTr="00BB697C">
        <w:trPr>
          <w:cantSplit/>
          <w:jc w:val="center"/>
        </w:trPr>
        <w:tc>
          <w:tcPr>
            <w:tcW w:w="2694" w:type="dxa"/>
            <w:gridSpan w:val="2"/>
            <w:tcBorders>
              <w:top w:val="single" w:sz="4" w:space="0" w:color="auto"/>
              <w:left w:val="single" w:sz="16" w:space="0" w:color="000000"/>
              <w:bottom w:val="single" w:sz="16" w:space="0" w:color="000000"/>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c>
          <w:tcPr>
            <w:tcW w:w="1701" w:type="dxa"/>
            <w:tcBorders>
              <w:top w:val="single" w:sz="4" w:space="0" w:color="auto"/>
              <w:left w:val="single" w:sz="16" w:space="0" w:color="000000"/>
              <w:bottom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62</w:t>
            </w:r>
          </w:p>
        </w:tc>
        <w:tc>
          <w:tcPr>
            <w:tcW w:w="1701" w:type="dxa"/>
            <w:tcBorders>
              <w:top w:val="single" w:sz="4" w:space="0" w:color="auto"/>
              <w:bottom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32</w:t>
            </w:r>
          </w:p>
        </w:tc>
        <w:tc>
          <w:tcPr>
            <w:tcW w:w="850" w:type="dxa"/>
            <w:tcBorders>
              <w:top w:val="single" w:sz="4" w:space="0" w:color="auto"/>
              <w:bottom w:val="single" w:sz="16" w:space="0" w:color="000000"/>
              <w:right w:val="single" w:sz="16" w:space="0" w:color="000000"/>
            </w:tcBorders>
            <w:shd w:val="clear" w:color="auto" w:fill="FFFFFF"/>
          </w:tcPr>
          <w:p w:rsidR="00F70542" w:rsidRPr="009967AA" w:rsidRDefault="00F70542"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94</w:t>
            </w:r>
          </w:p>
        </w:tc>
      </w:tr>
    </w:tbl>
    <w:p w:rsidR="00F70542" w:rsidRPr="009967AA" w:rsidRDefault="00F70542" w:rsidP="009967AA">
      <w:pPr>
        <w:autoSpaceDE w:val="0"/>
        <w:autoSpaceDN w:val="0"/>
        <w:bidi w:val="0"/>
        <w:adjustRightInd w:val="0"/>
        <w:spacing w:after="0" w:line="240" w:lineRule="auto"/>
        <w:jc w:val="both"/>
        <w:rPr>
          <w:rFonts w:asciiTheme="majorBidi" w:hAnsiTheme="majorBidi" w:cstheme="majorBidi"/>
          <w:sz w:val="24"/>
          <w:szCs w:val="24"/>
        </w:rPr>
      </w:pPr>
    </w:p>
    <w:p w:rsidR="001F4A25" w:rsidRDefault="001F4A25" w:rsidP="009967AA">
      <w:pPr>
        <w:bidi w:val="0"/>
        <w:spacing w:after="0" w:line="240" w:lineRule="auto"/>
        <w:jc w:val="both"/>
        <w:rPr>
          <w:rFonts w:asciiTheme="majorBidi" w:hAnsiTheme="majorBidi" w:cstheme="majorBidi"/>
          <w:sz w:val="24"/>
          <w:szCs w:val="24"/>
          <w:lang w:bidi="ar-IQ"/>
        </w:rPr>
        <w:sectPr w:rsidR="001F4A25" w:rsidSect="00F72E24">
          <w:type w:val="continuous"/>
          <w:pgSz w:w="11906" w:h="16838"/>
          <w:pgMar w:top="1090" w:right="1376" w:bottom="1440" w:left="1350" w:header="708" w:footer="708" w:gutter="0"/>
          <w:cols w:space="708"/>
          <w:docGrid w:linePitch="360"/>
        </w:sectPr>
      </w:pPr>
    </w:p>
    <w:p w:rsidR="00B91934" w:rsidRPr="009967AA" w:rsidRDefault="00293A1D"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lastRenderedPageBreak/>
        <w:t xml:space="preserve">Overall 31 patients </w:t>
      </w:r>
      <w:r w:rsidR="00556E40" w:rsidRPr="009967AA">
        <w:rPr>
          <w:rFonts w:asciiTheme="majorBidi" w:hAnsiTheme="majorBidi" w:cstheme="majorBidi"/>
          <w:sz w:val="24"/>
          <w:szCs w:val="24"/>
          <w:lang w:bidi="ar-IQ"/>
        </w:rPr>
        <w:t xml:space="preserve">both on </w:t>
      </w:r>
      <w:r w:rsidR="0016580A" w:rsidRPr="009967AA">
        <w:rPr>
          <w:rFonts w:asciiTheme="majorBidi" w:hAnsiTheme="majorBidi" w:cstheme="majorBidi"/>
          <w:sz w:val="24"/>
          <w:szCs w:val="24"/>
          <w:lang w:bidi="ar-IQ"/>
        </w:rPr>
        <w:t>Imatinib and Nilotinib</w:t>
      </w:r>
      <w:r w:rsidRPr="009967AA">
        <w:rPr>
          <w:rFonts w:asciiTheme="majorBidi" w:hAnsiTheme="majorBidi" w:cstheme="majorBidi"/>
          <w:sz w:val="24"/>
          <w:szCs w:val="24"/>
          <w:lang w:bidi="ar-IQ"/>
        </w:rPr>
        <w:t>drugs achieved optimal complete cytogenetic response</w:t>
      </w:r>
      <w:r w:rsidR="00556E40" w:rsidRPr="009967AA">
        <w:rPr>
          <w:rFonts w:asciiTheme="majorBidi" w:hAnsiTheme="majorBidi" w:cstheme="majorBidi"/>
          <w:sz w:val="24"/>
          <w:szCs w:val="24"/>
          <w:lang w:bidi="ar-IQ"/>
        </w:rPr>
        <w:t>,28</w:t>
      </w:r>
      <w:r w:rsidR="001A6349" w:rsidRPr="009967AA">
        <w:rPr>
          <w:rFonts w:asciiTheme="majorBidi" w:hAnsiTheme="majorBidi" w:cstheme="majorBidi"/>
          <w:sz w:val="24"/>
          <w:szCs w:val="24"/>
          <w:lang w:bidi="ar-IQ"/>
        </w:rPr>
        <w:t xml:space="preserve">(90.4%) </w:t>
      </w:r>
      <w:r w:rsidR="00556E40" w:rsidRPr="009967AA">
        <w:rPr>
          <w:rFonts w:asciiTheme="majorBidi" w:hAnsiTheme="majorBidi" w:cstheme="majorBidi"/>
          <w:sz w:val="24"/>
          <w:szCs w:val="24"/>
          <w:lang w:bidi="ar-IQ"/>
        </w:rPr>
        <w:t xml:space="preserve">got major molecular response </w:t>
      </w:r>
      <w:r w:rsidR="0016580A" w:rsidRPr="009967AA">
        <w:rPr>
          <w:rFonts w:asciiTheme="majorBidi" w:hAnsiTheme="majorBidi" w:cstheme="majorBidi"/>
          <w:sz w:val="24"/>
          <w:szCs w:val="24"/>
          <w:lang w:bidi="ar-IQ"/>
        </w:rPr>
        <w:t xml:space="preserve">while 3 </w:t>
      </w:r>
      <w:r w:rsidR="00556E40" w:rsidRPr="009967AA">
        <w:rPr>
          <w:rFonts w:asciiTheme="majorBidi" w:hAnsiTheme="majorBidi" w:cstheme="majorBidi"/>
          <w:sz w:val="24"/>
          <w:szCs w:val="24"/>
          <w:lang w:bidi="ar-IQ"/>
        </w:rPr>
        <w:t>(9.6%) were not</w:t>
      </w:r>
      <w:r w:rsidR="0016580A" w:rsidRPr="009967AA">
        <w:rPr>
          <w:rFonts w:asciiTheme="majorBidi" w:hAnsiTheme="majorBidi" w:cstheme="majorBidi"/>
          <w:sz w:val="24"/>
          <w:szCs w:val="24"/>
          <w:lang w:bidi="ar-IQ"/>
        </w:rPr>
        <w:t>.</w:t>
      </w:r>
      <w:r w:rsidR="00556E40" w:rsidRPr="009967AA">
        <w:rPr>
          <w:rFonts w:asciiTheme="majorBidi" w:hAnsiTheme="majorBidi" w:cstheme="majorBidi"/>
          <w:sz w:val="24"/>
          <w:szCs w:val="24"/>
          <w:lang w:bidi="ar-IQ"/>
        </w:rPr>
        <w:t>34(80.9%)</w:t>
      </w:r>
      <w:r w:rsidR="001A6349" w:rsidRPr="009967AA">
        <w:rPr>
          <w:rFonts w:asciiTheme="majorBidi" w:hAnsiTheme="majorBidi" w:cstheme="majorBidi"/>
          <w:sz w:val="24"/>
          <w:szCs w:val="24"/>
          <w:lang w:bidi="ar-IQ"/>
        </w:rPr>
        <w:t>patients out of 42 with delayed complete cytogenetic response</w:t>
      </w:r>
      <w:r w:rsidR="00BB697C" w:rsidRPr="009967AA">
        <w:rPr>
          <w:rFonts w:asciiTheme="majorBidi" w:hAnsiTheme="majorBidi" w:cstheme="majorBidi"/>
          <w:sz w:val="24"/>
          <w:szCs w:val="24"/>
          <w:lang w:bidi="ar-IQ"/>
        </w:rPr>
        <w:t>achieved</w:t>
      </w:r>
      <w:r w:rsidR="00556E40" w:rsidRPr="009967AA">
        <w:rPr>
          <w:rFonts w:asciiTheme="majorBidi" w:hAnsiTheme="majorBidi" w:cstheme="majorBidi"/>
          <w:sz w:val="24"/>
          <w:szCs w:val="24"/>
          <w:lang w:bidi="ar-IQ"/>
        </w:rPr>
        <w:t xml:space="preserve">  major molecular response and 8</w:t>
      </w:r>
      <w:r w:rsidR="001A6349" w:rsidRPr="009967AA">
        <w:rPr>
          <w:rFonts w:asciiTheme="majorBidi" w:hAnsiTheme="majorBidi" w:cstheme="majorBidi"/>
          <w:sz w:val="24"/>
          <w:szCs w:val="24"/>
          <w:lang w:bidi="ar-IQ"/>
        </w:rPr>
        <w:t>(19.1%) s</w:t>
      </w:r>
      <w:r w:rsidR="007220C4" w:rsidRPr="009967AA">
        <w:rPr>
          <w:rFonts w:asciiTheme="majorBidi" w:hAnsiTheme="majorBidi" w:cstheme="majorBidi"/>
          <w:sz w:val="24"/>
          <w:szCs w:val="24"/>
          <w:lang w:bidi="ar-IQ"/>
        </w:rPr>
        <w:t>howed molecular failure (table 4</w:t>
      </w:r>
      <w:r w:rsidR="001A6349" w:rsidRPr="009967AA">
        <w:rPr>
          <w:rFonts w:asciiTheme="majorBidi" w:hAnsiTheme="majorBidi" w:cstheme="majorBidi"/>
          <w:sz w:val="24"/>
          <w:szCs w:val="24"/>
          <w:lang w:bidi="ar-IQ"/>
        </w:rPr>
        <w:t>).</w:t>
      </w:r>
    </w:p>
    <w:p w:rsidR="00797527" w:rsidRDefault="0016580A"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The m</w:t>
      </w:r>
      <w:r w:rsidR="00BD183A" w:rsidRPr="009967AA">
        <w:rPr>
          <w:rFonts w:asciiTheme="majorBidi" w:hAnsiTheme="majorBidi" w:cstheme="majorBidi"/>
          <w:sz w:val="24"/>
          <w:szCs w:val="24"/>
          <w:lang w:bidi="ar-IQ"/>
        </w:rPr>
        <w:t xml:space="preserve">ajority of </w:t>
      </w:r>
      <w:r w:rsidRPr="009967AA">
        <w:rPr>
          <w:rFonts w:asciiTheme="majorBidi" w:hAnsiTheme="majorBidi" w:cstheme="majorBidi"/>
          <w:sz w:val="24"/>
          <w:szCs w:val="24"/>
          <w:lang w:bidi="ar-IQ"/>
        </w:rPr>
        <w:t xml:space="preserve"> the 66 patients on Imatinib</w:t>
      </w:r>
      <w:r w:rsidR="00BD183A" w:rsidRPr="009967AA">
        <w:rPr>
          <w:rFonts w:asciiTheme="majorBidi" w:hAnsiTheme="majorBidi" w:cstheme="majorBidi"/>
          <w:sz w:val="24"/>
          <w:szCs w:val="24"/>
          <w:lang w:bidi="ar-IQ"/>
        </w:rPr>
        <w:t xml:space="preserve"> (63 patients)(95.4%</w:t>
      </w:r>
      <w:r w:rsidRPr="009967AA">
        <w:rPr>
          <w:rFonts w:asciiTheme="majorBidi" w:hAnsiTheme="majorBidi" w:cstheme="majorBidi"/>
          <w:sz w:val="24"/>
          <w:szCs w:val="24"/>
          <w:lang w:bidi="ar-IQ"/>
        </w:rPr>
        <w:t xml:space="preserve">) experience mild </w:t>
      </w:r>
      <w:r w:rsidRPr="009967AA">
        <w:rPr>
          <w:rFonts w:asciiTheme="majorBidi" w:hAnsiTheme="majorBidi" w:cstheme="majorBidi"/>
          <w:sz w:val="24"/>
          <w:szCs w:val="24"/>
          <w:lang w:bidi="ar-IQ"/>
        </w:rPr>
        <w:lastRenderedPageBreak/>
        <w:t xml:space="preserve">adverse effect </w:t>
      </w:r>
      <w:r w:rsidR="00BD183A" w:rsidRPr="009967AA">
        <w:rPr>
          <w:rFonts w:asciiTheme="majorBidi" w:hAnsiTheme="majorBidi" w:cstheme="majorBidi"/>
          <w:sz w:val="24"/>
          <w:szCs w:val="24"/>
          <w:lang w:bidi="ar-IQ"/>
        </w:rPr>
        <w:t xml:space="preserve"> such as</w:t>
      </w:r>
      <w:r w:rsidR="007615A4" w:rsidRPr="009967AA">
        <w:rPr>
          <w:rFonts w:asciiTheme="majorBidi" w:hAnsiTheme="majorBidi" w:cstheme="majorBidi"/>
          <w:sz w:val="24"/>
          <w:szCs w:val="24"/>
          <w:lang w:bidi="ar-IQ"/>
        </w:rPr>
        <w:t>edema</w:t>
      </w:r>
      <w:r w:rsidR="00904EE2" w:rsidRPr="009967AA">
        <w:rPr>
          <w:rFonts w:asciiTheme="majorBidi" w:hAnsiTheme="majorBidi" w:cstheme="majorBidi"/>
          <w:sz w:val="24"/>
          <w:szCs w:val="24"/>
          <w:lang w:bidi="ar-IQ"/>
        </w:rPr>
        <w:t>,</w:t>
      </w:r>
      <w:r w:rsidR="00BD183A" w:rsidRPr="009967AA">
        <w:rPr>
          <w:rFonts w:asciiTheme="majorBidi" w:hAnsiTheme="majorBidi" w:cstheme="majorBidi"/>
          <w:sz w:val="24"/>
          <w:szCs w:val="24"/>
          <w:lang w:bidi="ar-IQ"/>
        </w:rPr>
        <w:t xml:space="preserve"> nausea, muscle cra</w:t>
      </w:r>
      <w:r w:rsidR="00904EE2" w:rsidRPr="009967AA">
        <w:rPr>
          <w:rFonts w:asciiTheme="majorBidi" w:hAnsiTheme="majorBidi" w:cstheme="majorBidi"/>
          <w:sz w:val="24"/>
          <w:szCs w:val="24"/>
          <w:lang w:bidi="ar-IQ"/>
        </w:rPr>
        <w:t>mps, mild bone pain and myalgia</w:t>
      </w:r>
      <w:r w:rsidR="00CA3BE3" w:rsidRPr="009967AA">
        <w:rPr>
          <w:rFonts w:asciiTheme="majorBidi" w:hAnsiTheme="majorBidi" w:cstheme="majorBidi"/>
          <w:sz w:val="24"/>
          <w:szCs w:val="24"/>
          <w:lang w:bidi="ar-IQ"/>
        </w:rPr>
        <w:t xml:space="preserve"> ,</w:t>
      </w:r>
      <w:r w:rsidR="00BD183A" w:rsidRPr="009967AA">
        <w:rPr>
          <w:rFonts w:asciiTheme="majorBidi" w:hAnsiTheme="majorBidi" w:cstheme="majorBidi"/>
          <w:sz w:val="24"/>
          <w:szCs w:val="24"/>
          <w:lang w:bidi="ar-IQ"/>
        </w:rPr>
        <w:t xml:space="preserve"> 3 patients only (4.5%) develop</w:t>
      </w:r>
      <w:r w:rsidRPr="009967AA">
        <w:rPr>
          <w:rFonts w:asciiTheme="majorBidi" w:hAnsiTheme="majorBidi" w:cstheme="majorBidi"/>
          <w:sz w:val="24"/>
          <w:szCs w:val="24"/>
          <w:lang w:bidi="ar-IQ"/>
        </w:rPr>
        <w:t xml:space="preserve">ed </w:t>
      </w:r>
      <w:r w:rsidR="00C31076" w:rsidRPr="009967AA">
        <w:rPr>
          <w:rFonts w:asciiTheme="majorBidi" w:hAnsiTheme="majorBidi" w:cstheme="majorBidi"/>
          <w:sz w:val="24"/>
          <w:szCs w:val="24"/>
          <w:lang w:bidi="ar-IQ"/>
        </w:rPr>
        <w:t xml:space="preserve">sever </w:t>
      </w:r>
      <w:r w:rsidRPr="009967AA">
        <w:rPr>
          <w:rFonts w:asciiTheme="majorBidi" w:hAnsiTheme="majorBidi" w:cstheme="majorBidi"/>
          <w:sz w:val="24"/>
          <w:szCs w:val="24"/>
          <w:lang w:bidi="ar-IQ"/>
        </w:rPr>
        <w:t xml:space="preserve">adverse effect </w:t>
      </w:r>
      <w:r w:rsidR="00C31076" w:rsidRPr="009967AA">
        <w:rPr>
          <w:rFonts w:asciiTheme="majorBidi" w:hAnsiTheme="majorBidi" w:cstheme="majorBidi"/>
          <w:sz w:val="24"/>
          <w:szCs w:val="24"/>
          <w:lang w:bidi="ar-IQ"/>
        </w:rPr>
        <w:t xml:space="preserve"> that ne</w:t>
      </w:r>
      <w:r w:rsidR="00BD183A" w:rsidRPr="009967AA">
        <w:rPr>
          <w:rFonts w:asciiTheme="majorBidi" w:hAnsiTheme="majorBidi" w:cstheme="majorBidi"/>
          <w:sz w:val="24"/>
          <w:szCs w:val="24"/>
          <w:lang w:bidi="ar-IQ"/>
        </w:rPr>
        <w:t>cessate</w:t>
      </w:r>
      <w:r w:rsidR="00FE171D" w:rsidRPr="009967AA">
        <w:rPr>
          <w:rFonts w:asciiTheme="majorBidi" w:hAnsiTheme="majorBidi" w:cstheme="majorBidi"/>
          <w:sz w:val="24"/>
          <w:szCs w:val="24"/>
          <w:lang w:bidi="ar-IQ"/>
        </w:rPr>
        <w:t xml:space="preserve">temporary  discontinuation </w:t>
      </w:r>
      <w:r w:rsidR="00BD183A" w:rsidRPr="009967AA">
        <w:rPr>
          <w:rFonts w:asciiTheme="majorBidi" w:hAnsiTheme="majorBidi" w:cstheme="majorBidi"/>
          <w:sz w:val="24"/>
          <w:szCs w:val="24"/>
          <w:lang w:bidi="ar-IQ"/>
        </w:rPr>
        <w:t xml:space="preserve">of </w:t>
      </w:r>
      <w:r w:rsidR="00FE171D" w:rsidRPr="009967AA">
        <w:rPr>
          <w:rFonts w:asciiTheme="majorBidi" w:hAnsiTheme="majorBidi" w:cstheme="majorBidi"/>
          <w:sz w:val="24"/>
          <w:szCs w:val="24"/>
          <w:lang w:bidi="ar-IQ"/>
        </w:rPr>
        <w:t xml:space="preserve">the </w:t>
      </w:r>
      <w:r w:rsidR="00BD183A" w:rsidRPr="009967AA">
        <w:rPr>
          <w:rFonts w:asciiTheme="majorBidi" w:hAnsiTheme="majorBidi" w:cstheme="majorBidi"/>
          <w:sz w:val="24"/>
          <w:szCs w:val="24"/>
          <w:lang w:bidi="ar-IQ"/>
        </w:rPr>
        <w:t>drug such as sever thrombocy</w:t>
      </w:r>
      <w:r w:rsidR="00FE171D" w:rsidRPr="009967AA">
        <w:rPr>
          <w:rFonts w:asciiTheme="majorBidi" w:hAnsiTheme="majorBidi" w:cstheme="majorBidi"/>
          <w:sz w:val="24"/>
          <w:szCs w:val="24"/>
          <w:lang w:bidi="ar-IQ"/>
        </w:rPr>
        <w:t>topenia, pancytopenia.  P</w:t>
      </w:r>
      <w:r w:rsidR="00BD183A" w:rsidRPr="009967AA">
        <w:rPr>
          <w:rFonts w:asciiTheme="majorBidi" w:hAnsiTheme="majorBidi" w:cstheme="majorBidi"/>
          <w:sz w:val="24"/>
          <w:szCs w:val="24"/>
          <w:lang w:bidi="ar-IQ"/>
        </w:rPr>
        <w:t xml:space="preserve">atients </w:t>
      </w:r>
      <w:r w:rsidR="00FE171D" w:rsidRPr="009967AA">
        <w:rPr>
          <w:rFonts w:asciiTheme="majorBidi" w:hAnsiTheme="majorBidi" w:cstheme="majorBidi"/>
          <w:sz w:val="24"/>
          <w:szCs w:val="24"/>
          <w:lang w:bidi="ar-IQ"/>
        </w:rPr>
        <w:t xml:space="preserve"> on Nilotinib showed mild adverse effects</w:t>
      </w:r>
      <w:r w:rsidR="00BD183A" w:rsidRPr="009967AA">
        <w:rPr>
          <w:rFonts w:asciiTheme="majorBidi" w:hAnsiTheme="majorBidi" w:cstheme="majorBidi"/>
          <w:sz w:val="24"/>
          <w:szCs w:val="24"/>
          <w:lang w:bidi="ar-IQ"/>
        </w:rPr>
        <w:t xml:space="preserve"> only</w:t>
      </w:r>
      <w:r w:rsidR="000D4885" w:rsidRPr="009967AA">
        <w:rPr>
          <w:rFonts w:asciiTheme="majorBidi" w:hAnsiTheme="majorBidi" w:cstheme="majorBidi"/>
          <w:sz w:val="24"/>
          <w:szCs w:val="24"/>
          <w:lang w:bidi="ar-IQ"/>
        </w:rPr>
        <w:t xml:space="preserve">, interestingly 15 patients (22.7%) and 10 patients (35.7%) </w:t>
      </w:r>
      <w:r w:rsidR="00797527" w:rsidRPr="009967AA">
        <w:rPr>
          <w:rFonts w:asciiTheme="majorBidi" w:hAnsiTheme="majorBidi" w:cstheme="majorBidi"/>
          <w:sz w:val="24"/>
          <w:szCs w:val="24"/>
          <w:lang w:bidi="ar-IQ"/>
        </w:rPr>
        <w:t>had no</w:t>
      </w:r>
      <w:r w:rsidR="00FE171D" w:rsidRPr="009967AA">
        <w:rPr>
          <w:rFonts w:asciiTheme="majorBidi" w:hAnsiTheme="majorBidi" w:cstheme="majorBidi"/>
          <w:sz w:val="24"/>
          <w:szCs w:val="24"/>
          <w:lang w:bidi="ar-IQ"/>
        </w:rPr>
        <w:t xml:space="preserve"> reported side effect on Imatinib and Nilotinib</w:t>
      </w:r>
      <w:r w:rsidR="00BB697C">
        <w:rPr>
          <w:rFonts w:asciiTheme="majorBidi" w:hAnsiTheme="majorBidi" w:cstheme="majorBidi"/>
          <w:sz w:val="24"/>
          <w:szCs w:val="24"/>
          <w:lang w:bidi="ar-IQ"/>
        </w:rPr>
        <w:t xml:space="preserve"> respectively </w:t>
      </w:r>
      <w:r w:rsidR="00556E40" w:rsidRPr="009967AA">
        <w:rPr>
          <w:rFonts w:asciiTheme="majorBidi" w:hAnsiTheme="majorBidi" w:cstheme="majorBidi"/>
          <w:sz w:val="24"/>
          <w:szCs w:val="24"/>
          <w:lang w:bidi="ar-IQ"/>
        </w:rPr>
        <w:t>(table 5)</w:t>
      </w:r>
      <w:r w:rsidR="00BB697C">
        <w:rPr>
          <w:rFonts w:asciiTheme="majorBidi" w:hAnsiTheme="majorBidi" w:cstheme="majorBidi"/>
          <w:sz w:val="24"/>
          <w:szCs w:val="24"/>
          <w:lang w:bidi="ar-IQ"/>
        </w:rPr>
        <w:t>.</w:t>
      </w:r>
    </w:p>
    <w:p w:rsidR="001F4A25" w:rsidRDefault="001F4A25" w:rsidP="001F4A25">
      <w:pPr>
        <w:bidi w:val="0"/>
        <w:spacing w:after="0" w:line="240" w:lineRule="auto"/>
        <w:jc w:val="both"/>
        <w:rPr>
          <w:rFonts w:asciiTheme="majorBidi" w:hAnsiTheme="majorBidi" w:cstheme="majorBidi"/>
          <w:sz w:val="24"/>
          <w:szCs w:val="24"/>
          <w:lang w:bidi="ar-IQ"/>
        </w:rPr>
        <w:sectPr w:rsidR="001F4A25" w:rsidSect="00F72E24">
          <w:type w:val="continuous"/>
          <w:pgSz w:w="11906" w:h="16838"/>
          <w:pgMar w:top="1090" w:right="1376" w:bottom="1440" w:left="1350" w:header="708" w:footer="708" w:gutter="0"/>
          <w:cols w:num="2" w:space="708"/>
          <w:docGrid w:linePitch="360"/>
        </w:sectPr>
      </w:pPr>
    </w:p>
    <w:p w:rsidR="001F4A25" w:rsidRPr="009967AA" w:rsidRDefault="001F4A25" w:rsidP="001F4A25">
      <w:pPr>
        <w:bidi w:val="0"/>
        <w:spacing w:after="0" w:line="240" w:lineRule="auto"/>
        <w:jc w:val="both"/>
        <w:rPr>
          <w:rFonts w:asciiTheme="majorBidi" w:hAnsiTheme="majorBidi" w:cstheme="majorBidi"/>
          <w:sz w:val="24"/>
          <w:szCs w:val="24"/>
          <w:lang w:bidi="ar-IQ"/>
        </w:rPr>
      </w:pPr>
    </w:p>
    <w:p w:rsidR="001F4A25" w:rsidRDefault="003A426C"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T</w:t>
      </w:r>
      <w:r w:rsidR="00797527" w:rsidRPr="009967AA">
        <w:rPr>
          <w:rFonts w:asciiTheme="majorBidi" w:hAnsiTheme="majorBidi" w:cstheme="majorBidi"/>
          <w:sz w:val="24"/>
          <w:szCs w:val="24"/>
          <w:lang w:bidi="ar-IQ"/>
        </w:rPr>
        <w:t xml:space="preserve">able </w:t>
      </w:r>
      <w:r w:rsidR="007220C4" w:rsidRPr="009967AA">
        <w:rPr>
          <w:rFonts w:asciiTheme="majorBidi" w:hAnsiTheme="majorBidi" w:cstheme="majorBidi"/>
          <w:sz w:val="24"/>
          <w:szCs w:val="24"/>
          <w:lang w:bidi="ar-IQ"/>
        </w:rPr>
        <w:t>(5</w:t>
      </w:r>
      <w:r w:rsidRPr="009967AA">
        <w:rPr>
          <w:rFonts w:asciiTheme="majorBidi" w:hAnsiTheme="majorBidi" w:cstheme="majorBidi"/>
          <w:sz w:val="24"/>
          <w:szCs w:val="24"/>
          <w:lang w:bidi="ar-IQ"/>
        </w:rPr>
        <w:t>) shows the main adverse effects of the two drugs  in the present study</w:t>
      </w:r>
      <w:r w:rsidR="00797527" w:rsidRPr="009967AA">
        <w:rPr>
          <w:rFonts w:asciiTheme="majorBidi" w:hAnsiTheme="majorBidi" w:cstheme="majorBidi"/>
          <w:sz w:val="24"/>
          <w:szCs w:val="24"/>
          <w:lang w:bidi="ar-IQ"/>
        </w:rPr>
        <w:t>.</w:t>
      </w:r>
    </w:p>
    <w:p w:rsidR="00BB697C" w:rsidRDefault="00BB697C" w:rsidP="001F4A25">
      <w:pPr>
        <w:bidi w:val="0"/>
        <w:spacing w:after="0" w:line="240" w:lineRule="auto"/>
        <w:jc w:val="both"/>
        <w:rPr>
          <w:rFonts w:asciiTheme="majorBidi" w:hAnsiTheme="majorBidi" w:cstheme="majorBidi"/>
          <w:b/>
          <w:bCs/>
          <w:sz w:val="24"/>
          <w:szCs w:val="24"/>
          <w:u w:val="single"/>
          <w:lang w:bidi="ar-IQ"/>
        </w:rPr>
      </w:pPr>
    </w:p>
    <w:p w:rsidR="00BB697C" w:rsidRDefault="00BB697C" w:rsidP="00BB697C">
      <w:pPr>
        <w:bidi w:val="0"/>
        <w:spacing w:after="0" w:line="240" w:lineRule="auto"/>
        <w:jc w:val="both"/>
        <w:rPr>
          <w:rFonts w:asciiTheme="majorBidi" w:hAnsiTheme="majorBidi" w:cstheme="majorBidi"/>
          <w:b/>
          <w:bCs/>
          <w:sz w:val="24"/>
          <w:szCs w:val="24"/>
          <w:u w:val="single"/>
          <w:lang w:bidi="ar-IQ"/>
        </w:rPr>
      </w:pPr>
    </w:p>
    <w:p w:rsidR="001F4A25" w:rsidRDefault="003A426C" w:rsidP="00BB697C">
      <w:pPr>
        <w:bidi w:val="0"/>
        <w:spacing w:after="0" w:line="240" w:lineRule="auto"/>
        <w:jc w:val="both"/>
        <w:rPr>
          <w:rFonts w:asciiTheme="majorBidi" w:hAnsiTheme="majorBidi" w:cstheme="majorBidi"/>
          <w:sz w:val="24"/>
          <w:szCs w:val="24"/>
          <w:lang w:bidi="ar-IQ"/>
        </w:rPr>
      </w:pPr>
      <w:r w:rsidRPr="001F4A25">
        <w:rPr>
          <w:rFonts w:asciiTheme="majorBidi" w:hAnsiTheme="majorBidi" w:cstheme="majorBidi"/>
          <w:b/>
          <w:bCs/>
          <w:sz w:val="24"/>
          <w:szCs w:val="24"/>
          <w:u w:val="single"/>
          <w:lang w:bidi="ar-IQ"/>
        </w:rPr>
        <w:lastRenderedPageBreak/>
        <w:t>Table</w:t>
      </w:r>
      <w:r w:rsidR="0076367F">
        <w:rPr>
          <w:rFonts w:asciiTheme="majorBidi" w:hAnsiTheme="majorBidi" w:cstheme="majorBidi"/>
          <w:b/>
          <w:bCs/>
          <w:sz w:val="24"/>
          <w:szCs w:val="24"/>
          <w:u w:val="single"/>
          <w:lang w:bidi="ar-IQ"/>
        </w:rPr>
        <w:t xml:space="preserve"> </w:t>
      </w:r>
      <w:r w:rsidR="007220C4" w:rsidRPr="001F4A25">
        <w:rPr>
          <w:rFonts w:asciiTheme="majorBidi" w:hAnsiTheme="majorBidi" w:cstheme="majorBidi"/>
          <w:b/>
          <w:bCs/>
          <w:sz w:val="24"/>
          <w:szCs w:val="24"/>
          <w:u w:val="single"/>
          <w:lang w:bidi="ar-IQ"/>
        </w:rPr>
        <w:t>5</w:t>
      </w:r>
      <w:r w:rsidR="001F4A25" w:rsidRPr="001F4A25">
        <w:rPr>
          <w:rFonts w:asciiTheme="majorBidi" w:hAnsiTheme="majorBidi" w:cstheme="majorBidi"/>
          <w:b/>
          <w:bCs/>
          <w:sz w:val="24"/>
          <w:szCs w:val="24"/>
          <w:u w:val="single"/>
          <w:lang w:bidi="ar-IQ"/>
        </w:rPr>
        <w:t>:</w:t>
      </w:r>
      <w:r w:rsidRPr="009967AA">
        <w:rPr>
          <w:rFonts w:asciiTheme="majorBidi" w:hAnsiTheme="majorBidi" w:cstheme="majorBidi"/>
          <w:sz w:val="24"/>
          <w:szCs w:val="24"/>
          <w:lang w:bidi="ar-IQ"/>
        </w:rPr>
        <w:t xml:space="preserve"> Rates of Imatinib and Nilotinib  adverse effects.</w:t>
      </w:r>
    </w:p>
    <w:p w:rsidR="009C5FBC" w:rsidRPr="009967AA" w:rsidRDefault="009C5FBC" w:rsidP="001F4A25">
      <w:pPr>
        <w:bidi w:val="0"/>
        <w:spacing w:after="0" w:line="240" w:lineRule="auto"/>
        <w:jc w:val="both"/>
        <w:rPr>
          <w:rFonts w:asciiTheme="majorBidi" w:hAnsiTheme="majorBidi" w:cstheme="majorBidi"/>
          <w:sz w:val="24"/>
          <w:szCs w:val="24"/>
          <w:lang w:bidi="ar-IQ"/>
        </w:rPr>
      </w:pPr>
    </w:p>
    <w:tbl>
      <w:tblPr>
        <w:bidiVisual/>
        <w:tblW w:w="0" w:type="auto"/>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3913"/>
      </w:tblGrid>
      <w:tr w:rsidR="009C5FBC" w:rsidRPr="009967AA" w:rsidTr="00BB697C">
        <w:trPr>
          <w:trHeight w:val="575"/>
          <w:jc w:val="center"/>
        </w:trPr>
        <w:tc>
          <w:tcPr>
            <w:tcW w:w="3685" w:type="dxa"/>
          </w:tcPr>
          <w:p w:rsidR="009C5FBC" w:rsidRPr="00BB697C" w:rsidRDefault="003A426C" w:rsidP="001F4A25">
            <w:pPr>
              <w:bidi w:val="0"/>
              <w:spacing w:after="0" w:line="240" w:lineRule="auto"/>
              <w:rPr>
                <w:rFonts w:asciiTheme="majorBidi" w:hAnsiTheme="majorBidi" w:cstheme="majorBidi"/>
                <w:b/>
                <w:bCs/>
                <w:sz w:val="24"/>
                <w:szCs w:val="24"/>
                <w:lang w:bidi="ar-IQ"/>
              </w:rPr>
            </w:pPr>
            <w:r w:rsidRPr="00BB697C">
              <w:rPr>
                <w:rFonts w:asciiTheme="majorBidi" w:hAnsiTheme="majorBidi" w:cstheme="majorBidi"/>
                <w:b/>
                <w:bCs/>
                <w:sz w:val="24"/>
                <w:szCs w:val="24"/>
                <w:lang w:bidi="ar-IQ"/>
              </w:rPr>
              <w:t>Nilotinib</w:t>
            </w:r>
          </w:p>
          <w:p w:rsidR="009C5FBC" w:rsidRPr="00BB697C" w:rsidRDefault="003A426C" w:rsidP="009967AA">
            <w:pPr>
              <w:bidi w:val="0"/>
              <w:spacing w:after="0" w:line="240" w:lineRule="auto"/>
              <w:jc w:val="both"/>
              <w:rPr>
                <w:rFonts w:asciiTheme="majorBidi" w:hAnsiTheme="majorBidi" w:cstheme="majorBidi"/>
                <w:b/>
                <w:bCs/>
                <w:sz w:val="24"/>
                <w:szCs w:val="24"/>
                <w:lang w:bidi="ar-IQ"/>
              </w:rPr>
            </w:pPr>
            <w:r w:rsidRPr="00BB697C">
              <w:rPr>
                <w:rFonts w:asciiTheme="majorBidi" w:hAnsiTheme="majorBidi" w:cstheme="majorBidi"/>
                <w:b/>
                <w:bCs/>
                <w:sz w:val="24"/>
                <w:szCs w:val="24"/>
                <w:lang w:bidi="ar-IQ"/>
              </w:rPr>
              <w:t>Adverse effects</w:t>
            </w:r>
            <w:r w:rsidR="009C5FBC" w:rsidRPr="00BB697C">
              <w:rPr>
                <w:rFonts w:asciiTheme="majorBidi" w:hAnsiTheme="majorBidi" w:cstheme="majorBidi"/>
                <w:b/>
                <w:bCs/>
                <w:sz w:val="24"/>
                <w:szCs w:val="24"/>
                <w:lang w:bidi="ar-IQ"/>
              </w:rPr>
              <w:t xml:space="preserve"> n(%)</w:t>
            </w:r>
          </w:p>
        </w:tc>
        <w:tc>
          <w:tcPr>
            <w:tcW w:w="3913" w:type="dxa"/>
          </w:tcPr>
          <w:p w:rsidR="009C5FBC" w:rsidRPr="00BB697C" w:rsidRDefault="003A426C" w:rsidP="001F4A25">
            <w:pPr>
              <w:tabs>
                <w:tab w:val="left" w:pos="3562"/>
                <w:tab w:val="right" w:pos="4537"/>
              </w:tabs>
              <w:bidi w:val="0"/>
              <w:spacing w:after="0" w:line="240" w:lineRule="auto"/>
              <w:jc w:val="center"/>
              <w:rPr>
                <w:rFonts w:asciiTheme="majorBidi" w:hAnsiTheme="majorBidi" w:cstheme="majorBidi"/>
                <w:b/>
                <w:bCs/>
                <w:sz w:val="24"/>
                <w:szCs w:val="24"/>
                <w:rtl/>
                <w:lang w:bidi="ar-IQ"/>
              </w:rPr>
            </w:pPr>
            <w:r w:rsidRPr="00BB697C">
              <w:rPr>
                <w:rFonts w:asciiTheme="majorBidi" w:hAnsiTheme="majorBidi" w:cstheme="majorBidi"/>
                <w:b/>
                <w:bCs/>
                <w:sz w:val="24"/>
                <w:szCs w:val="24"/>
                <w:lang w:bidi="ar-IQ"/>
              </w:rPr>
              <w:t>Imatinib</w:t>
            </w:r>
          </w:p>
          <w:p w:rsidR="009C5FBC" w:rsidRPr="00BB697C" w:rsidRDefault="003A426C" w:rsidP="009967AA">
            <w:pPr>
              <w:bidi w:val="0"/>
              <w:spacing w:after="0" w:line="240" w:lineRule="auto"/>
              <w:jc w:val="both"/>
              <w:rPr>
                <w:rFonts w:asciiTheme="majorBidi" w:hAnsiTheme="majorBidi" w:cstheme="majorBidi"/>
                <w:b/>
                <w:bCs/>
                <w:sz w:val="24"/>
                <w:szCs w:val="24"/>
                <w:lang w:bidi="ar-IQ"/>
              </w:rPr>
            </w:pPr>
            <w:r w:rsidRPr="00BB697C">
              <w:rPr>
                <w:rFonts w:asciiTheme="majorBidi" w:hAnsiTheme="majorBidi" w:cstheme="majorBidi"/>
                <w:b/>
                <w:bCs/>
                <w:sz w:val="24"/>
                <w:szCs w:val="24"/>
                <w:lang w:bidi="ar-IQ"/>
              </w:rPr>
              <w:t>Adverse effects</w:t>
            </w:r>
            <w:r w:rsidR="009C5FBC" w:rsidRPr="00BB697C">
              <w:rPr>
                <w:rFonts w:asciiTheme="majorBidi" w:hAnsiTheme="majorBidi" w:cstheme="majorBidi"/>
                <w:b/>
                <w:bCs/>
                <w:sz w:val="24"/>
                <w:szCs w:val="24"/>
                <w:lang w:bidi="ar-IQ"/>
              </w:rPr>
              <w:t xml:space="preserve"> n(%)</w:t>
            </w:r>
          </w:p>
        </w:tc>
      </w:tr>
      <w:tr w:rsidR="009C5FBC" w:rsidRPr="009967AA" w:rsidTr="00BB697C">
        <w:trPr>
          <w:trHeight w:val="3753"/>
          <w:jc w:val="center"/>
        </w:trPr>
        <w:tc>
          <w:tcPr>
            <w:tcW w:w="3685" w:type="dxa"/>
          </w:tcPr>
          <w:p w:rsidR="00C92F56" w:rsidRPr="009967AA" w:rsidRDefault="002309B2"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 xml:space="preserve">Headache                      </w:t>
            </w:r>
            <w:r w:rsidR="00C92F56" w:rsidRPr="009967AA">
              <w:rPr>
                <w:rFonts w:asciiTheme="majorBidi" w:hAnsiTheme="majorBidi" w:cstheme="majorBidi"/>
                <w:sz w:val="24"/>
                <w:szCs w:val="24"/>
                <w:lang w:bidi="ar-IQ"/>
              </w:rPr>
              <w:t xml:space="preserve"> 10 (</w:t>
            </w:r>
            <w:r w:rsidR="00C21A4F" w:rsidRPr="009967AA">
              <w:rPr>
                <w:rFonts w:asciiTheme="majorBidi" w:hAnsiTheme="majorBidi" w:cstheme="majorBidi"/>
                <w:sz w:val="24"/>
                <w:szCs w:val="24"/>
                <w:lang w:bidi="ar-IQ"/>
              </w:rPr>
              <w:t>35.7)</w:t>
            </w:r>
          </w:p>
          <w:p w:rsidR="009C5FBC"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Joint pain</w:t>
            </w:r>
            <w:r w:rsidR="00EC4AF5" w:rsidRPr="009967AA">
              <w:rPr>
                <w:rFonts w:asciiTheme="majorBidi" w:hAnsiTheme="majorBidi" w:cstheme="majorBidi"/>
                <w:sz w:val="24"/>
                <w:szCs w:val="24"/>
                <w:lang w:bidi="ar-IQ"/>
              </w:rPr>
              <w:t>7</w:t>
            </w:r>
            <w:r w:rsidR="00622F5D" w:rsidRPr="009967AA">
              <w:rPr>
                <w:rFonts w:asciiTheme="majorBidi" w:hAnsiTheme="majorBidi" w:cstheme="majorBidi"/>
                <w:sz w:val="24"/>
                <w:szCs w:val="24"/>
                <w:lang w:bidi="ar-IQ"/>
              </w:rPr>
              <w:t xml:space="preserve"> (</w:t>
            </w:r>
            <w:r w:rsidR="00EC4AF5" w:rsidRPr="009967AA">
              <w:rPr>
                <w:rFonts w:asciiTheme="majorBidi" w:hAnsiTheme="majorBidi" w:cstheme="majorBidi"/>
                <w:sz w:val="24"/>
                <w:szCs w:val="24"/>
                <w:lang w:bidi="ar-IQ"/>
              </w:rPr>
              <w:t>25</w:t>
            </w:r>
            <w:r w:rsidR="00622F5D" w:rsidRPr="009967AA">
              <w:rPr>
                <w:rFonts w:asciiTheme="majorBidi" w:hAnsiTheme="majorBidi" w:cstheme="majorBidi"/>
                <w:sz w:val="24"/>
                <w:szCs w:val="24"/>
                <w:lang w:bidi="ar-IQ"/>
              </w:rPr>
              <w:t>)</w:t>
            </w:r>
          </w:p>
          <w:p w:rsidR="00BD6CD2" w:rsidRPr="009967AA" w:rsidRDefault="00BD6CD2"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Nausea                                5 (17.8)</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Fever</w:t>
            </w:r>
            <w:r w:rsidR="00EC4AF5" w:rsidRPr="009967AA">
              <w:rPr>
                <w:rFonts w:asciiTheme="majorBidi" w:hAnsiTheme="majorBidi" w:cstheme="majorBidi"/>
                <w:sz w:val="24"/>
                <w:szCs w:val="24"/>
                <w:lang w:bidi="ar-IQ"/>
              </w:rPr>
              <w:t xml:space="preserve">  3</w:t>
            </w:r>
            <w:r w:rsidR="00622F5D" w:rsidRPr="009967AA">
              <w:rPr>
                <w:rFonts w:asciiTheme="majorBidi" w:hAnsiTheme="majorBidi" w:cstheme="majorBidi"/>
                <w:sz w:val="24"/>
                <w:szCs w:val="24"/>
                <w:lang w:bidi="ar-IQ"/>
              </w:rPr>
              <w:t xml:space="preserve"> (</w:t>
            </w:r>
            <w:r w:rsidR="00EC4AF5" w:rsidRPr="009967AA">
              <w:rPr>
                <w:rFonts w:asciiTheme="majorBidi" w:hAnsiTheme="majorBidi" w:cstheme="majorBidi"/>
                <w:sz w:val="24"/>
                <w:szCs w:val="24"/>
                <w:lang w:bidi="ar-IQ"/>
              </w:rPr>
              <w:t>10.</w:t>
            </w:r>
            <w:r w:rsidR="00622F5D" w:rsidRPr="009967AA">
              <w:rPr>
                <w:rFonts w:asciiTheme="majorBidi" w:hAnsiTheme="majorBidi" w:cstheme="majorBidi"/>
                <w:sz w:val="24"/>
                <w:szCs w:val="24"/>
                <w:lang w:bidi="ar-IQ"/>
              </w:rPr>
              <w:t>7)</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Jaundice</w:t>
            </w:r>
            <w:r w:rsidR="00EC4AF5" w:rsidRPr="009967AA">
              <w:rPr>
                <w:rFonts w:asciiTheme="majorBidi" w:hAnsiTheme="majorBidi" w:cstheme="majorBidi"/>
                <w:sz w:val="24"/>
                <w:szCs w:val="24"/>
                <w:lang w:bidi="ar-IQ"/>
              </w:rPr>
              <w:t xml:space="preserve">  2 (7</w:t>
            </w:r>
            <w:r w:rsidR="00622F5D" w:rsidRPr="009967AA">
              <w:rPr>
                <w:rFonts w:asciiTheme="majorBidi" w:hAnsiTheme="majorBidi" w:cstheme="majorBidi"/>
                <w:sz w:val="24"/>
                <w:szCs w:val="24"/>
                <w:lang w:bidi="ar-IQ"/>
              </w:rPr>
              <w:t>)</w:t>
            </w:r>
          </w:p>
          <w:p w:rsidR="00B65767" w:rsidRPr="009967AA" w:rsidRDefault="00BF08CA"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Itching</w:t>
            </w:r>
            <w:r w:rsidR="00BD6CD2" w:rsidRPr="009967AA">
              <w:rPr>
                <w:rFonts w:asciiTheme="majorBidi" w:hAnsiTheme="majorBidi" w:cstheme="majorBidi"/>
                <w:sz w:val="24"/>
                <w:szCs w:val="24"/>
                <w:lang w:bidi="ar-IQ"/>
              </w:rPr>
              <w:t xml:space="preserve">  3 ( 10.7</w:t>
            </w:r>
            <w:r w:rsidR="00622F5D" w:rsidRPr="009967AA">
              <w:rPr>
                <w:rFonts w:asciiTheme="majorBidi" w:hAnsiTheme="majorBidi" w:cstheme="majorBidi"/>
                <w:sz w:val="24"/>
                <w:szCs w:val="24"/>
                <w:lang w:bidi="ar-IQ"/>
              </w:rPr>
              <w:t>)</w:t>
            </w:r>
          </w:p>
          <w:p w:rsidR="00BD6CD2" w:rsidRPr="009967AA" w:rsidRDefault="00BD6CD2"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Skin rash                              2 ( 7)</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Menorrhagia</w:t>
            </w:r>
            <w:r w:rsidR="00EC4AF5" w:rsidRPr="009967AA">
              <w:rPr>
                <w:rFonts w:asciiTheme="majorBidi" w:hAnsiTheme="majorBidi" w:cstheme="majorBidi"/>
                <w:sz w:val="24"/>
                <w:szCs w:val="24"/>
                <w:lang w:bidi="ar-IQ"/>
              </w:rPr>
              <w:t xml:space="preserve"> 2  ( 7 </w:t>
            </w:r>
            <w:r w:rsidR="00622F5D" w:rsidRPr="009967AA">
              <w:rPr>
                <w:rFonts w:asciiTheme="majorBidi" w:hAnsiTheme="majorBidi" w:cstheme="majorBidi"/>
                <w:sz w:val="24"/>
                <w:szCs w:val="24"/>
                <w:lang w:bidi="ar-IQ"/>
              </w:rPr>
              <w:t>)</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Frequency of Urination</w:t>
            </w:r>
            <w:r w:rsidR="00622F5D" w:rsidRPr="009967AA">
              <w:rPr>
                <w:rFonts w:asciiTheme="majorBidi" w:hAnsiTheme="majorBidi" w:cstheme="majorBidi"/>
                <w:sz w:val="24"/>
                <w:szCs w:val="24"/>
                <w:lang w:bidi="ar-IQ"/>
              </w:rPr>
              <w:t xml:space="preserve">  1 ( 3.5)</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No Side effect</w:t>
            </w:r>
            <w:r w:rsidR="00EC4AF5" w:rsidRPr="009967AA">
              <w:rPr>
                <w:rFonts w:asciiTheme="majorBidi" w:hAnsiTheme="majorBidi" w:cstheme="majorBidi"/>
                <w:sz w:val="24"/>
                <w:szCs w:val="24"/>
                <w:lang w:bidi="ar-IQ"/>
              </w:rPr>
              <w:t xml:space="preserve"> 10</w:t>
            </w:r>
            <w:r w:rsidR="00622F5D" w:rsidRPr="009967AA">
              <w:rPr>
                <w:rFonts w:asciiTheme="majorBidi" w:hAnsiTheme="majorBidi" w:cstheme="majorBidi"/>
                <w:sz w:val="24"/>
                <w:szCs w:val="24"/>
                <w:lang w:bidi="ar-IQ"/>
              </w:rPr>
              <w:t xml:space="preserve">  (</w:t>
            </w:r>
            <w:r w:rsidR="00EC4AF5" w:rsidRPr="009967AA">
              <w:rPr>
                <w:rFonts w:asciiTheme="majorBidi" w:hAnsiTheme="majorBidi" w:cstheme="majorBidi"/>
                <w:sz w:val="24"/>
                <w:szCs w:val="24"/>
                <w:lang w:bidi="ar-IQ"/>
              </w:rPr>
              <w:t>35.7)</w:t>
            </w:r>
          </w:p>
          <w:p w:rsidR="00B65767" w:rsidRPr="009967AA" w:rsidRDefault="00B65767" w:rsidP="009967AA">
            <w:pPr>
              <w:bidi w:val="0"/>
              <w:spacing w:after="0" w:line="240" w:lineRule="auto"/>
              <w:jc w:val="both"/>
              <w:rPr>
                <w:rFonts w:asciiTheme="majorBidi" w:hAnsiTheme="majorBidi" w:cstheme="majorBidi"/>
                <w:sz w:val="24"/>
                <w:szCs w:val="24"/>
                <w:lang w:bidi="ar-IQ"/>
              </w:rPr>
            </w:pPr>
          </w:p>
        </w:tc>
        <w:tc>
          <w:tcPr>
            <w:tcW w:w="3913" w:type="dxa"/>
          </w:tcPr>
          <w:p w:rsidR="00B65767" w:rsidRPr="009967AA" w:rsidRDefault="009C5FBC"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Lassitude</w:t>
            </w:r>
            <w:r w:rsidR="00EC4AF5" w:rsidRPr="009967AA">
              <w:rPr>
                <w:rFonts w:asciiTheme="majorBidi" w:hAnsiTheme="majorBidi" w:cstheme="majorBidi"/>
                <w:sz w:val="24"/>
                <w:szCs w:val="24"/>
                <w:lang w:bidi="ar-IQ"/>
              </w:rPr>
              <w:t xml:space="preserve"> 12(18</w:t>
            </w:r>
            <w:r w:rsidR="00B65767" w:rsidRPr="009967AA">
              <w:rPr>
                <w:rFonts w:asciiTheme="majorBidi" w:hAnsiTheme="majorBidi" w:cstheme="majorBidi"/>
                <w:sz w:val="24"/>
                <w:szCs w:val="24"/>
                <w:lang w:bidi="ar-IQ"/>
              </w:rPr>
              <w:t>)</w:t>
            </w:r>
          </w:p>
          <w:p w:rsidR="009C5FBC" w:rsidRPr="009967AA" w:rsidRDefault="00BF08CA"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Odema</w:t>
            </w:r>
            <w:r w:rsidR="00EC4AF5" w:rsidRPr="009967AA">
              <w:rPr>
                <w:rFonts w:asciiTheme="majorBidi" w:hAnsiTheme="majorBidi" w:cstheme="majorBidi"/>
                <w:sz w:val="24"/>
                <w:szCs w:val="24"/>
                <w:lang w:bidi="ar-IQ"/>
              </w:rPr>
              <w:t>20 ( 30.3</w:t>
            </w:r>
            <w:r w:rsidR="00622F5D" w:rsidRPr="009967AA">
              <w:rPr>
                <w:rFonts w:asciiTheme="majorBidi" w:hAnsiTheme="majorBidi" w:cstheme="majorBidi"/>
                <w:sz w:val="24"/>
                <w:szCs w:val="24"/>
                <w:lang w:bidi="ar-IQ"/>
              </w:rPr>
              <w:t>)</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Bone and Joint pain</w:t>
            </w:r>
            <w:r w:rsidR="00EC4AF5" w:rsidRPr="009967AA">
              <w:rPr>
                <w:rFonts w:asciiTheme="majorBidi" w:hAnsiTheme="majorBidi" w:cstheme="majorBidi"/>
                <w:sz w:val="24"/>
                <w:szCs w:val="24"/>
                <w:lang w:bidi="ar-IQ"/>
              </w:rPr>
              <w:t xml:space="preserve"> 15 (22.7</w:t>
            </w:r>
            <w:r w:rsidR="00622F5D" w:rsidRPr="009967AA">
              <w:rPr>
                <w:rFonts w:asciiTheme="majorBidi" w:hAnsiTheme="majorBidi" w:cstheme="majorBidi"/>
                <w:sz w:val="24"/>
                <w:szCs w:val="24"/>
                <w:lang w:bidi="ar-IQ"/>
              </w:rPr>
              <w:t>)</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Vomiting</w:t>
            </w:r>
            <w:r w:rsidR="00EC4AF5" w:rsidRPr="009967AA">
              <w:rPr>
                <w:rFonts w:asciiTheme="majorBidi" w:hAnsiTheme="majorBidi" w:cstheme="majorBidi"/>
                <w:sz w:val="24"/>
                <w:szCs w:val="24"/>
                <w:lang w:bidi="ar-IQ"/>
              </w:rPr>
              <w:t xml:space="preserve"> 3 (4.5</w:t>
            </w:r>
            <w:r w:rsidR="00622F5D" w:rsidRPr="009967AA">
              <w:rPr>
                <w:rFonts w:asciiTheme="majorBidi" w:hAnsiTheme="majorBidi" w:cstheme="majorBidi"/>
                <w:sz w:val="24"/>
                <w:szCs w:val="24"/>
                <w:lang w:bidi="ar-IQ"/>
              </w:rPr>
              <w:t>)</w:t>
            </w:r>
          </w:p>
          <w:p w:rsidR="00B65767" w:rsidRPr="009967AA" w:rsidRDefault="00B65767" w:rsidP="009967AA">
            <w:pPr>
              <w:bidi w:val="0"/>
              <w:spacing w:after="0" w:line="240" w:lineRule="auto"/>
              <w:jc w:val="both"/>
              <w:rPr>
                <w:rFonts w:asciiTheme="majorBidi" w:hAnsiTheme="majorBidi" w:cstheme="majorBidi"/>
                <w:sz w:val="24"/>
                <w:szCs w:val="24"/>
                <w:rtl/>
                <w:lang w:bidi="ar-IQ"/>
              </w:rPr>
            </w:pPr>
            <w:r w:rsidRPr="009967AA">
              <w:rPr>
                <w:rFonts w:asciiTheme="majorBidi" w:hAnsiTheme="majorBidi" w:cstheme="majorBidi"/>
                <w:sz w:val="24"/>
                <w:szCs w:val="24"/>
                <w:lang w:bidi="ar-IQ"/>
              </w:rPr>
              <w:t>Skin rash</w:t>
            </w:r>
            <w:r w:rsidR="00EC4AF5" w:rsidRPr="009967AA">
              <w:rPr>
                <w:rFonts w:asciiTheme="majorBidi" w:hAnsiTheme="majorBidi" w:cstheme="majorBidi"/>
                <w:sz w:val="24"/>
                <w:szCs w:val="24"/>
                <w:lang w:bidi="ar-IQ"/>
              </w:rPr>
              <w:t>3 (4.5</w:t>
            </w:r>
            <w:r w:rsidR="00622F5D" w:rsidRPr="009967AA">
              <w:rPr>
                <w:rFonts w:asciiTheme="majorBidi" w:hAnsiTheme="majorBidi" w:cstheme="majorBidi"/>
                <w:sz w:val="24"/>
                <w:szCs w:val="24"/>
                <w:lang w:bidi="ar-IQ"/>
              </w:rPr>
              <w:t>)</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Fever</w:t>
            </w:r>
            <w:r w:rsidR="00EC4AF5" w:rsidRPr="009967AA">
              <w:rPr>
                <w:rFonts w:asciiTheme="majorBidi" w:hAnsiTheme="majorBidi" w:cstheme="majorBidi"/>
                <w:sz w:val="24"/>
                <w:szCs w:val="24"/>
                <w:lang w:bidi="ar-IQ"/>
              </w:rPr>
              <w:t xml:space="preserve"> 5 (7.5</w:t>
            </w:r>
            <w:r w:rsidR="00622F5D" w:rsidRPr="009967AA">
              <w:rPr>
                <w:rFonts w:asciiTheme="majorBidi" w:hAnsiTheme="majorBidi" w:cstheme="majorBidi"/>
                <w:sz w:val="24"/>
                <w:szCs w:val="24"/>
                <w:lang w:bidi="ar-IQ"/>
              </w:rPr>
              <w:t>)</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Loss of hair</w:t>
            </w:r>
            <w:r w:rsidR="00622F5D" w:rsidRPr="009967AA">
              <w:rPr>
                <w:rFonts w:asciiTheme="majorBidi" w:hAnsiTheme="majorBidi" w:cstheme="majorBidi"/>
                <w:sz w:val="24"/>
                <w:szCs w:val="24"/>
                <w:lang w:bidi="ar-IQ"/>
              </w:rPr>
              <w:t xml:space="preserve"> 1 (1.5)</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Abdominal pain</w:t>
            </w:r>
            <w:r w:rsidR="00622F5D" w:rsidRPr="009967AA">
              <w:rPr>
                <w:rFonts w:asciiTheme="majorBidi" w:hAnsiTheme="majorBidi" w:cstheme="majorBidi"/>
                <w:sz w:val="24"/>
                <w:szCs w:val="24"/>
                <w:lang w:bidi="ar-IQ"/>
              </w:rPr>
              <w:t xml:space="preserve"> 2 (3)</w:t>
            </w:r>
          </w:p>
          <w:p w:rsidR="00B65767" w:rsidRPr="009967AA" w:rsidRDefault="00B65767"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No Side effect</w:t>
            </w:r>
            <w:r w:rsidR="00EC4AF5" w:rsidRPr="009967AA">
              <w:rPr>
                <w:rFonts w:asciiTheme="majorBidi" w:hAnsiTheme="majorBidi" w:cstheme="majorBidi"/>
                <w:sz w:val="24"/>
                <w:szCs w:val="24"/>
                <w:lang w:bidi="ar-IQ"/>
              </w:rPr>
              <w:t>15 (22.7</w:t>
            </w:r>
            <w:r w:rsidR="00622F5D" w:rsidRPr="009967AA">
              <w:rPr>
                <w:rFonts w:asciiTheme="majorBidi" w:hAnsiTheme="majorBidi" w:cstheme="majorBidi"/>
                <w:sz w:val="24"/>
                <w:szCs w:val="24"/>
                <w:lang w:bidi="ar-IQ"/>
              </w:rPr>
              <w:t>)</w:t>
            </w:r>
          </w:p>
          <w:p w:rsidR="000D4885" w:rsidRPr="009967AA" w:rsidRDefault="000D4885"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Sever complications      3 (4.5)</w:t>
            </w:r>
          </w:p>
        </w:tc>
      </w:tr>
    </w:tbl>
    <w:p w:rsidR="009C5FBC" w:rsidRPr="009967AA" w:rsidRDefault="009C5FBC" w:rsidP="009967AA">
      <w:pPr>
        <w:bidi w:val="0"/>
        <w:spacing w:after="0" w:line="240" w:lineRule="auto"/>
        <w:jc w:val="both"/>
        <w:rPr>
          <w:rFonts w:asciiTheme="majorBidi" w:hAnsiTheme="majorBidi" w:cstheme="majorBidi"/>
          <w:sz w:val="24"/>
          <w:szCs w:val="24"/>
          <w:rtl/>
          <w:lang w:bidi="ar-IQ"/>
        </w:rPr>
      </w:pPr>
    </w:p>
    <w:p w:rsidR="001F4A25" w:rsidRDefault="001F4A25" w:rsidP="009967AA">
      <w:pPr>
        <w:bidi w:val="0"/>
        <w:spacing w:after="0" w:line="240" w:lineRule="auto"/>
        <w:jc w:val="both"/>
        <w:rPr>
          <w:rFonts w:asciiTheme="majorBidi" w:hAnsiTheme="majorBidi" w:cstheme="majorBidi"/>
          <w:sz w:val="24"/>
          <w:szCs w:val="24"/>
          <w:lang w:bidi="ar-IQ"/>
        </w:rPr>
        <w:sectPr w:rsidR="001F4A25" w:rsidSect="00F72E24">
          <w:type w:val="continuous"/>
          <w:pgSz w:w="11906" w:h="16838"/>
          <w:pgMar w:top="1090" w:right="1376" w:bottom="1440" w:left="1350" w:header="708" w:footer="708" w:gutter="0"/>
          <w:cols w:space="708"/>
          <w:docGrid w:linePitch="360"/>
        </w:sectPr>
      </w:pPr>
    </w:p>
    <w:p w:rsidR="00F22239" w:rsidRPr="009967AA" w:rsidRDefault="000D4885"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lastRenderedPageBreak/>
        <w:t>Measure</w:t>
      </w:r>
      <w:r w:rsidR="00E221BD" w:rsidRPr="009967AA">
        <w:rPr>
          <w:rFonts w:asciiTheme="majorBidi" w:hAnsiTheme="majorBidi" w:cstheme="majorBidi"/>
          <w:sz w:val="24"/>
          <w:szCs w:val="24"/>
          <w:lang w:bidi="ar-IQ"/>
        </w:rPr>
        <w:t>ments of liver function tests for</w:t>
      </w:r>
      <w:r w:rsidRPr="009967AA">
        <w:rPr>
          <w:rFonts w:asciiTheme="majorBidi" w:hAnsiTheme="majorBidi" w:cstheme="majorBidi"/>
          <w:sz w:val="24"/>
          <w:szCs w:val="24"/>
          <w:lang w:bidi="ar-IQ"/>
        </w:rPr>
        <w:t xml:space="preserve"> patients </w:t>
      </w:r>
      <w:r w:rsidR="00E221BD" w:rsidRPr="009967AA">
        <w:rPr>
          <w:rFonts w:asciiTheme="majorBidi" w:hAnsiTheme="majorBidi" w:cstheme="majorBidi"/>
          <w:sz w:val="24"/>
          <w:szCs w:val="24"/>
          <w:lang w:bidi="ar-IQ"/>
        </w:rPr>
        <w:t>on Imatinib</w:t>
      </w:r>
      <w:r w:rsidRPr="009967AA">
        <w:rPr>
          <w:rFonts w:asciiTheme="majorBidi" w:hAnsiTheme="majorBidi" w:cstheme="majorBidi"/>
          <w:sz w:val="24"/>
          <w:szCs w:val="24"/>
          <w:lang w:bidi="ar-IQ"/>
        </w:rPr>
        <w:t xml:space="preserve"> showed that only 3 patient</w:t>
      </w:r>
      <w:r w:rsidR="00E221BD" w:rsidRPr="009967AA">
        <w:rPr>
          <w:rFonts w:asciiTheme="majorBidi" w:hAnsiTheme="majorBidi" w:cstheme="majorBidi"/>
          <w:sz w:val="24"/>
          <w:szCs w:val="24"/>
          <w:lang w:bidi="ar-IQ"/>
        </w:rPr>
        <w:t xml:space="preserve">s out of 66 patients (4.5%) had </w:t>
      </w:r>
      <w:r w:rsidRPr="009967AA">
        <w:rPr>
          <w:rFonts w:asciiTheme="majorBidi" w:hAnsiTheme="majorBidi" w:cstheme="majorBidi"/>
          <w:sz w:val="24"/>
          <w:szCs w:val="24"/>
          <w:lang w:bidi="ar-IQ"/>
        </w:rPr>
        <w:t xml:space="preserve"> abnormal liver function tests which is minor elevation</w:t>
      </w:r>
      <w:r w:rsidR="00E221BD" w:rsidRPr="009967AA">
        <w:rPr>
          <w:rFonts w:asciiTheme="majorBidi" w:hAnsiTheme="majorBidi" w:cstheme="majorBidi"/>
          <w:sz w:val="24"/>
          <w:szCs w:val="24"/>
          <w:lang w:bidi="ar-IQ"/>
        </w:rPr>
        <w:t xml:space="preserve"> (&lt; 3 times normal) </w:t>
      </w:r>
      <w:r w:rsidRPr="009967AA">
        <w:rPr>
          <w:rFonts w:asciiTheme="majorBidi" w:hAnsiTheme="majorBidi" w:cstheme="majorBidi"/>
          <w:sz w:val="24"/>
          <w:szCs w:val="24"/>
          <w:lang w:bidi="ar-IQ"/>
        </w:rPr>
        <w:t xml:space="preserve"> that not </w:t>
      </w:r>
      <w:r w:rsidR="00E221BD" w:rsidRPr="009967AA">
        <w:rPr>
          <w:rFonts w:asciiTheme="majorBidi" w:hAnsiTheme="majorBidi" w:cstheme="majorBidi"/>
          <w:sz w:val="24"/>
          <w:szCs w:val="24"/>
          <w:lang w:bidi="ar-IQ"/>
        </w:rPr>
        <w:t xml:space="preserve">necessitate discontinuation </w:t>
      </w:r>
      <w:r w:rsidRPr="009967AA">
        <w:rPr>
          <w:rFonts w:asciiTheme="majorBidi" w:hAnsiTheme="majorBidi" w:cstheme="majorBidi"/>
          <w:sz w:val="24"/>
          <w:szCs w:val="24"/>
          <w:lang w:bidi="ar-IQ"/>
        </w:rPr>
        <w:t xml:space="preserve">of </w:t>
      </w:r>
      <w:r w:rsidR="00E221BD" w:rsidRPr="009967AA">
        <w:rPr>
          <w:rFonts w:asciiTheme="majorBidi" w:hAnsiTheme="majorBidi" w:cstheme="majorBidi"/>
          <w:sz w:val="24"/>
          <w:szCs w:val="24"/>
          <w:lang w:bidi="ar-IQ"/>
        </w:rPr>
        <w:t xml:space="preserve">the drug </w:t>
      </w:r>
      <w:r w:rsidR="00E221BD" w:rsidRPr="009967AA">
        <w:rPr>
          <w:rFonts w:asciiTheme="majorBidi" w:hAnsiTheme="majorBidi" w:cstheme="majorBidi"/>
          <w:sz w:val="24"/>
          <w:szCs w:val="24"/>
          <w:lang w:bidi="ar-IQ"/>
        </w:rPr>
        <w:lastRenderedPageBreak/>
        <w:t>while 6 patients on Nilotinib</w:t>
      </w:r>
      <w:r w:rsidRPr="009967AA">
        <w:rPr>
          <w:rFonts w:asciiTheme="majorBidi" w:hAnsiTheme="majorBidi" w:cstheme="majorBidi"/>
          <w:sz w:val="24"/>
          <w:szCs w:val="24"/>
          <w:lang w:bidi="ar-IQ"/>
        </w:rPr>
        <w:t xml:space="preserve"> out of 28 patients (21.4%) also develop minor elevation of liver fu</w:t>
      </w:r>
      <w:r w:rsidR="00CA71D6" w:rsidRPr="009967AA">
        <w:rPr>
          <w:rFonts w:asciiTheme="majorBidi" w:hAnsiTheme="majorBidi" w:cstheme="majorBidi"/>
          <w:sz w:val="24"/>
          <w:szCs w:val="24"/>
          <w:lang w:bidi="ar-IQ"/>
        </w:rPr>
        <w:t xml:space="preserve">nction tests  which does not require dose adjustment </w:t>
      </w:r>
      <w:r w:rsidR="008C6460" w:rsidRPr="009967AA">
        <w:rPr>
          <w:rFonts w:asciiTheme="majorBidi" w:hAnsiTheme="majorBidi" w:cstheme="majorBidi"/>
          <w:sz w:val="24"/>
          <w:szCs w:val="24"/>
          <w:lang w:bidi="ar-IQ"/>
        </w:rPr>
        <w:t>of the drug (table 6).</w:t>
      </w:r>
    </w:p>
    <w:p w:rsidR="001F4A25" w:rsidRDefault="001F4A25"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sectPr w:rsidR="001F4A25" w:rsidSect="001F4A25">
          <w:type w:val="continuous"/>
          <w:pgSz w:w="11906" w:h="16838"/>
          <w:pgMar w:top="818" w:right="1376" w:bottom="1440" w:left="1350" w:header="708" w:footer="708" w:gutter="0"/>
          <w:cols w:num="2" w:space="708"/>
          <w:docGrid w:linePitch="360"/>
        </w:sectPr>
      </w:pPr>
    </w:p>
    <w:tbl>
      <w:tblPr>
        <w:tblW w:w="6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258"/>
        <w:gridCol w:w="1559"/>
        <w:gridCol w:w="1843"/>
        <w:gridCol w:w="1010"/>
      </w:tblGrid>
      <w:tr w:rsidR="00F22239" w:rsidRPr="009967AA" w:rsidTr="00BB697C">
        <w:trPr>
          <w:cantSplit/>
          <w:tblHeader/>
          <w:jc w:val="center"/>
        </w:trPr>
        <w:tc>
          <w:tcPr>
            <w:tcW w:w="6397" w:type="dxa"/>
            <w:gridSpan w:val="5"/>
            <w:tcBorders>
              <w:top w:val="nil"/>
              <w:left w:val="nil"/>
              <w:bottom w:val="nil"/>
              <w:right w:val="nil"/>
            </w:tcBorders>
            <w:shd w:val="clear" w:color="auto" w:fill="FFFFFF"/>
            <w:vAlign w:val="center"/>
          </w:tcPr>
          <w:p w:rsidR="001F4A25" w:rsidRPr="009967AA" w:rsidRDefault="001F4A25"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22239" w:rsidRPr="009967AA" w:rsidTr="00BB697C">
        <w:trPr>
          <w:cantSplit/>
          <w:tblHeader/>
          <w:jc w:val="center"/>
        </w:trPr>
        <w:tc>
          <w:tcPr>
            <w:tcW w:w="6397" w:type="dxa"/>
            <w:gridSpan w:val="5"/>
            <w:tcBorders>
              <w:top w:val="nil"/>
              <w:left w:val="nil"/>
              <w:bottom w:val="nil"/>
              <w:right w:val="nil"/>
            </w:tcBorders>
            <w:shd w:val="clear" w:color="auto" w:fill="FFFFFF"/>
            <w:vAlign w:val="bottom"/>
          </w:tcPr>
          <w:p w:rsidR="00F22239" w:rsidRDefault="00AD100A" w:rsidP="001F4A25">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1F4A25">
              <w:rPr>
                <w:rFonts w:asciiTheme="majorBidi" w:hAnsiTheme="majorBidi" w:cstheme="majorBidi"/>
                <w:b/>
                <w:bCs/>
                <w:color w:val="000000"/>
                <w:sz w:val="24"/>
                <w:szCs w:val="24"/>
                <w:u w:val="single"/>
              </w:rPr>
              <w:t>Ta</w:t>
            </w:r>
            <w:r w:rsidR="007220C4" w:rsidRPr="001F4A25">
              <w:rPr>
                <w:rFonts w:asciiTheme="majorBidi" w:hAnsiTheme="majorBidi" w:cstheme="majorBidi"/>
                <w:b/>
                <w:bCs/>
                <w:color w:val="000000"/>
                <w:sz w:val="24"/>
                <w:szCs w:val="24"/>
                <w:u w:val="single"/>
              </w:rPr>
              <w:t>ble 6</w:t>
            </w:r>
            <w:r w:rsidR="001F4A25" w:rsidRPr="001F4A25">
              <w:rPr>
                <w:rFonts w:asciiTheme="majorBidi" w:hAnsiTheme="majorBidi" w:cstheme="majorBidi"/>
                <w:b/>
                <w:bCs/>
                <w:color w:val="000000"/>
                <w:sz w:val="24"/>
                <w:szCs w:val="24"/>
                <w:u w:val="single"/>
              </w:rPr>
              <w:t xml:space="preserve"> :</w:t>
            </w:r>
            <w:r w:rsidR="00A86398" w:rsidRPr="009967AA">
              <w:rPr>
                <w:rFonts w:asciiTheme="majorBidi" w:hAnsiTheme="majorBidi" w:cstheme="majorBidi"/>
                <w:color w:val="000000"/>
                <w:sz w:val="24"/>
                <w:szCs w:val="24"/>
              </w:rPr>
              <w:t>Liver Function Tests in Imatinib</w:t>
            </w:r>
            <w:r w:rsidRPr="009967AA">
              <w:rPr>
                <w:rFonts w:asciiTheme="majorBidi" w:hAnsiTheme="majorBidi" w:cstheme="majorBidi"/>
                <w:color w:val="000000"/>
                <w:sz w:val="24"/>
                <w:szCs w:val="24"/>
              </w:rPr>
              <w:t xml:space="preserve">versus </w:t>
            </w:r>
            <w:r w:rsidR="00A86398" w:rsidRPr="009967AA">
              <w:rPr>
                <w:rFonts w:asciiTheme="majorBidi" w:hAnsiTheme="majorBidi" w:cstheme="majorBidi"/>
                <w:color w:val="000000"/>
                <w:sz w:val="24"/>
                <w:szCs w:val="24"/>
              </w:rPr>
              <w:t>Nilotinib</w:t>
            </w:r>
          </w:p>
          <w:p w:rsidR="001F4A25" w:rsidRPr="0076367F" w:rsidRDefault="001F4A25" w:rsidP="001F4A25">
            <w:pPr>
              <w:autoSpaceDE w:val="0"/>
              <w:autoSpaceDN w:val="0"/>
              <w:bidi w:val="0"/>
              <w:adjustRightInd w:val="0"/>
              <w:spacing w:after="0" w:line="240" w:lineRule="auto"/>
              <w:ind w:left="60" w:right="60"/>
              <w:jc w:val="both"/>
              <w:rPr>
                <w:rFonts w:asciiTheme="majorBidi" w:hAnsiTheme="majorBidi" w:cstheme="majorBidi"/>
                <w:color w:val="000000"/>
                <w:sz w:val="14"/>
                <w:szCs w:val="14"/>
              </w:rPr>
            </w:pPr>
          </w:p>
        </w:tc>
      </w:tr>
      <w:tr w:rsidR="00F22239" w:rsidRPr="009967AA" w:rsidTr="00BB697C">
        <w:trPr>
          <w:cantSplit/>
          <w:tblHeader/>
          <w:jc w:val="cent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22239" w:rsidRPr="009967AA" w:rsidRDefault="00F22239" w:rsidP="009967AA">
            <w:pPr>
              <w:autoSpaceDE w:val="0"/>
              <w:autoSpaceDN w:val="0"/>
              <w:bidi w:val="0"/>
              <w:adjustRightInd w:val="0"/>
              <w:spacing w:after="0" w:line="240" w:lineRule="auto"/>
              <w:jc w:val="both"/>
              <w:rPr>
                <w:rFonts w:asciiTheme="majorBidi" w:hAnsiTheme="majorBidi" w:cstheme="majorBidi"/>
                <w:sz w:val="24"/>
                <w:szCs w:val="24"/>
              </w:rPr>
            </w:pPr>
          </w:p>
        </w:tc>
        <w:tc>
          <w:tcPr>
            <w:tcW w:w="3402" w:type="dxa"/>
            <w:gridSpan w:val="2"/>
            <w:tcBorders>
              <w:top w:val="single" w:sz="16" w:space="0" w:color="000000"/>
              <w:left w:val="single" w:sz="16" w:space="0" w:color="000000"/>
            </w:tcBorders>
            <w:shd w:val="clear" w:color="auto" w:fill="FFFFFF"/>
            <w:vAlign w:val="bottom"/>
          </w:tcPr>
          <w:p w:rsidR="00F22239" w:rsidRPr="00BB697C" w:rsidRDefault="00F22239" w:rsidP="00BB697C">
            <w:pPr>
              <w:autoSpaceDE w:val="0"/>
              <w:autoSpaceDN w:val="0"/>
              <w:bidi w:val="0"/>
              <w:adjustRightInd w:val="0"/>
              <w:spacing w:after="0" w:line="240" w:lineRule="auto"/>
              <w:ind w:left="60" w:right="60"/>
              <w:jc w:val="center"/>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drugs</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F22239" w:rsidRPr="00BB697C" w:rsidRDefault="00F22239"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Total</w:t>
            </w:r>
          </w:p>
        </w:tc>
      </w:tr>
      <w:tr w:rsidR="00F22239" w:rsidRPr="009967AA" w:rsidTr="00BB697C">
        <w:trPr>
          <w:cantSplit/>
          <w:tblHeader/>
          <w:jc w:val="cent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22239" w:rsidRPr="009967AA" w:rsidRDefault="00F22239"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559" w:type="dxa"/>
            <w:tcBorders>
              <w:left w:val="single" w:sz="16" w:space="0" w:color="000000"/>
              <w:bottom w:val="single" w:sz="16" w:space="0" w:color="000000"/>
            </w:tcBorders>
            <w:shd w:val="clear" w:color="auto" w:fill="FFFFFF"/>
            <w:vAlign w:val="bottom"/>
          </w:tcPr>
          <w:p w:rsidR="00F22239" w:rsidRPr="00BB697C" w:rsidRDefault="00A86398"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Imatinib</w:t>
            </w:r>
          </w:p>
        </w:tc>
        <w:tc>
          <w:tcPr>
            <w:tcW w:w="1843" w:type="dxa"/>
            <w:tcBorders>
              <w:bottom w:val="single" w:sz="16" w:space="0" w:color="000000"/>
            </w:tcBorders>
            <w:shd w:val="clear" w:color="auto" w:fill="FFFFFF"/>
            <w:vAlign w:val="bottom"/>
          </w:tcPr>
          <w:p w:rsidR="00F22239" w:rsidRPr="00BB697C" w:rsidRDefault="00A86398" w:rsidP="009967AA">
            <w:pPr>
              <w:autoSpaceDE w:val="0"/>
              <w:autoSpaceDN w:val="0"/>
              <w:bidi w:val="0"/>
              <w:adjustRightInd w:val="0"/>
              <w:spacing w:after="0" w:line="240" w:lineRule="auto"/>
              <w:ind w:left="60" w:right="60"/>
              <w:jc w:val="both"/>
              <w:rPr>
                <w:rFonts w:asciiTheme="majorBidi" w:hAnsiTheme="majorBidi" w:cstheme="majorBidi"/>
                <w:b/>
                <w:bCs/>
                <w:color w:val="000000"/>
                <w:sz w:val="24"/>
                <w:szCs w:val="24"/>
              </w:rPr>
            </w:pPr>
            <w:r w:rsidRPr="00BB697C">
              <w:rPr>
                <w:rFonts w:asciiTheme="majorBidi" w:hAnsiTheme="majorBidi" w:cstheme="majorBidi"/>
                <w:b/>
                <w:bCs/>
                <w:color w:val="000000"/>
                <w:sz w:val="24"/>
                <w:szCs w:val="24"/>
              </w:rPr>
              <w:t>Nilotinib</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F22239" w:rsidRPr="009967AA" w:rsidRDefault="00F22239"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r>
      <w:tr w:rsidR="00F22239" w:rsidRPr="009967AA" w:rsidTr="00BB697C">
        <w:trPr>
          <w:cantSplit/>
          <w:tblHeader/>
          <w:jc w:val="center"/>
        </w:trPr>
        <w:tc>
          <w:tcPr>
            <w:tcW w:w="727" w:type="dxa"/>
            <w:vMerge w:val="restart"/>
            <w:tcBorders>
              <w:top w:val="single" w:sz="16" w:space="0" w:color="000000"/>
              <w:left w:val="single" w:sz="16" w:space="0" w:color="000000"/>
              <w:bottom w:val="nil"/>
              <w:right w:val="nil"/>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LFT</w:t>
            </w:r>
          </w:p>
        </w:tc>
        <w:tc>
          <w:tcPr>
            <w:tcW w:w="1258" w:type="dxa"/>
            <w:tcBorders>
              <w:top w:val="single" w:sz="16" w:space="0" w:color="000000"/>
              <w:left w:val="nil"/>
              <w:bottom w:val="nil"/>
              <w:right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Normal</w:t>
            </w:r>
          </w:p>
        </w:tc>
        <w:tc>
          <w:tcPr>
            <w:tcW w:w="1559" w:type="dxa"/>
            <w:tcBorders>
              <w:top w:val="single" w:sz="16" w:space="0" w:color="000000"/>
              <w:left w:val="single" w:sz="16" w:space="0" w:color="000000"/>
              <w:bottom w:val="nil"/>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63</w:t>
            </w:r>
          </w:p>
        </w:tc>
        <w:tc>
          <w:tcPr>
            <w:tcW w:w="1843" w:type="dxa"/>
            <w:tcBorders>
              <w:top w:val="single" w:sz="16" w:space="0" w:color="000000"/>
              <w:bottom w:val="nil"/>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22</w:t>
            </w:r>
          </w:p>
        </w:tc>
        <w:tc>
          <w:tcPr>
            <w:tcW w:w="1010" w:type="dxa"/>
            <w:tcBorders>
              <w:top w:val="single" w:sz="16" w:space="0" w:color="000000"/>
              <w:bottom w:val="nil"/>
              <w:right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85</w:t>
            </w:r>
          </w:p>
        </w:tc>
      </w:tr>
      <w:tr w:rsidR="00F22239" w:rsidRPr="009967AA" w:rsidTr="00BB697C">
        <w:trPr>
          <w:cantSplit/>
          <w:tblHeader/>
          <w:jc w:val="center"/>
        </w:trPr>
        <w:tc>
          <w:tcPr>
            <w:tcW w:w="727" w:type="dxa"/>
            <w:vMerge/>
            <w:tcBorders>
              <w:top w:val="single" w:sz="16" w:space="0" w:color="000000"/>
              <w:left w:val="single" w:sz="16" w:space="0" w:color="000000"/>
              <w:bottom w:val="single" w:sz="4" w:space="0" w:color="auto"/>
              <w:right w:val="nil"/>
            </w:tcBorders>
            <w:shd w:val="clear" w:color="auto" w:fill="FFFFFF"/>
          </w:tcPr>
          <w:p w:rsidR="00F22239" w:rsidRPr="009967AA" w:rsidRDefault="00F22239"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258" w:type="dxa"/>
            <w:tcBorders>
              <w:top w:val="nil"/>
              <w:left w:val="nil"/>
              <w:bottom w:val="single" w:sz="4" w:space="0" w:color="auto"/>
              <w:right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Abnormal</w:t>
            </w:r>
          </w:p>
        </w:tc>
        <w:tc>
          <w:tcPr>
            <w:tcW w:w="1559" w:type="dxa"/>
            <w:tcBorders>
              <w:top w:val="nil"/>
              <w:left w:val="single" w:sz="16" w:space="0" w:color="000000"/>
              <w:bottom w:val="single" w:sz="4" w:space="0" w:color="auto"/>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w:t>
            </w:r>
            <w:r w:rsidR="00185C43" w:rsidRPr="009967AA">
              <w:rPr>
                <w:rFonts w:asciiTheme="majorBidi" w:hAnsiTheme="majorBidi" w:cstheme="majorBidi"/>
                <w:color w:val="000000"/>
                <w:sz w:val="24"/>
                <w:szCs w:val="24"/>
              </w:rPr>
              <w:t xml:space="preserve">  (4.5%)</w:t>
            </w:r>
          </w:p>
        </w:tc>
        <w:tc>
          <w:tcPr>
            <w:tcW w:w="1843" w:type="dxa"/>
            <w:tcBorders>
              <w:top w:val="nil"/>
              <w:bottom w:val="single" w:sz="4" w:space="0" w:color="auto"/>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w:t>
            </w:r>
            <w:r w:rsidR="00185C43" w:rsidRPr="009967AA">
              <w:rPr>
                <w:rFonts w:asciiTheme="majorBidi" w:hAnsiTheme="majorBidi" w:cstheme="majorBidi"/>
                <w:color w:val="000000"/>
                <w:sz w:val="24"/>
                <w:szCs w:val="24"/>
              </w:rPr>
              <w:t xml:space="preserve">  (21.4%)</w:t>
            </w:r>
          </w:p>
        </w:tc>
        <w:tc>
          <w:tcPr>
            <w:tcW w:w="1010" w:type="dxa"/>
            <w:tcBorders>
              <w:top w:val="nil"/>
              <w:bottom w:val="single" w:sz="4" w:space="0" w:color="auto"/>
              <w:right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9</w:t>
            </w:r>
          </w:p>
        </w:tc>
      </w:tr>
      <w:tr w:rsidR="00F22239" w:rsidRPr="009967AA" w:rsidTr="00BB697C">
        <w:trPr>
          <w:cantSplit/>
          <w:trHeight w:val="495"/>
          <w:jc w:val="center"/>
        </w:trPr>
        <w:tc>
          <w:tcPr>
            <w:tcW w:w="1985" w:type="dxa"/>
            <w:gridSpan w:val="2"/>
            <w:tcBorders>
              <w:top w:val="single" w:sz="4" w:space="0" w:color="auto"/>
              <w:left w:val="single" w:sz="16" w:space="0" w:color="000000"/>
              <w:bottom w:val="single" w:sz="16" w:space="0" w:color="000000"/>
              <w:right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c>
          <w:tcPr>
            <w:tcW w:w="1559" w:type="dxa"/>
            <w:tcBorders>
              <w:top w:val="single" w:sz="4" w:space="0" w:color="auto"/>
              <w:left w:val="single" w:sz="16" w:space="0" w:color="000000"/>
              <w:bottom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66</w:t>
            </w:r>
          </w:p>
        </w:tc>
        <w:tc>
          <w:tcPr>
            <w:tcW w:w="1843" w:type="dxa"/>
            <w:tcBorders>
              <w:top w:val="single" w:sz="4" w:space="0" w:color="auto"/>
              <w:bottom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28</w:t>
            </w:r>
          </w:p>
        </w:tc>
        <w:tc>
          <w:tcPr>
            <w:tcW w:w="1010" w:type="dxa"/>
            <w:tcBorders>
              <w:top w:val="single" w:sz="4" w:space="0" w:color="auto"/>
              <w:bottom w:val="single" w:sz="16" w:space="0" w:color="000000"/>
              <w:right w:val="single" w:sz="16" w:space="0" w:color="000000"/>
            </w:tcBorders>
            <w:shd w:val="clear" w:color="auto" w:fill="FFFFFF"/>
          </w:tcPr>
          <w:p w:rsidR="00F22239" w:rsidRPr="009967AA" w:rsidRDefault="00F22239"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94</w:t>
            </w:r>
          </w:p>
        </w:tc>
      </w:tr>
    </w:tbl>
    <w:p w:rsidR="00462312" w:rsidRPr="009967AA" w:rsidRDefault="00462312" w:rsidP="009967AA">
      <w:pPr>
        <w:bidi w:val="0"/>
        <w:spacing w:after="0" w:line="240" w:lineRule="auto"/>
        <w:jc w:val="both"/>
        <w:rPr>
          <w:rFonts w:asciiTheme="majorBidi" w:hAnsiTheme="majorBidi" w:cstheme="majorBidi"/>
          <w:sz w:val="24"/>
          <w:szCs w:val="24"/>
          <w:lang w:bidi="ar-IQ"/>
        </w:rPr>
      </w:pPr>
    </w:p>
    <w:p w:rsidR="00344CFF" w:rsidRDefault="00344CFF" w:rsidP="009967AA">
      <w:pPr>
        <w:bidi w:val="0"/>
        <w:spacing w:after="0" w:line="240" w:lineRule="auto"/>
        <w:jc w:val="both"/>
        <w:rPr>
          <w:rFonts w:asciiTheme="majorBidi" w:hAnsiTheme="majorBidi" w:cstheme="majorBidi"/>
          <w:sz w:val="24"/>
          <w:szCs w:val="24"/>
          <w:lang w:bidi="ar-IQ"/>
        </w:rPr>
        <w:sectPr w:rsidR="00344CFF" w:rsidSect="001F4A25">
          <w:type w:val="continuous"/>
          <w:pgSz w:w="11906" w:h="16838"/>
          <w:pgMar w:top="818" w:right="1376" w:bottom="1440" w:left="1350" w:header="708" w:footer="708" w:gutter="0"/>
          <w:cols w:space="708"/>
          <w:docGrid w:linePitch="360"/>
        </w:sectPr>
      </w:pPr>
    </w:p>
    <w:p w:rsidR="00140C37" w:rsidRPr="009967AA" w:rsidRDefault="000D4885" w:rsidP="009967AA">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lastRenderedPageBreak/>
        <w:t>Serum amylase enzyme measurement show</w:t>
      </w:r>
      <w:r w:rsidR="008D030D" w:rsidRPr="009967AA">
        <w:rPr>
          <w:rFonts w:asciiTheme="majorBidi" w:hAnsiTheme="majorBidi" w:cstheme="majorBidi"/>
          <w:sz w:val="24"/>
          <w:szCs w:val="24"/>
          <w:lang w:bidi="ar-IQ"/>
        </w:rPr>
        <w:t xml:space="preserve">ed </w:t>
      </w:r>
      <w:r w:rsidRPr="009967AA">
        <w:rPr>
          <w:rFonts w:asciiTheme="majorBidi" w:hAnsiTheme="majorBidi" w:cstheme="majorBidi"/>
          <w:sz w:val="24"/>
          <w:szCs w:val="24"/>
          <w:lang w:bidi="ar-IQ"/>
        </w:rPr>
        <w:t xml:space="preserve"> that 3 patients  (4.5 </w:t>
      </w:r>
      <w:r w:rsidR="008D030D" w:rsidRPr="009967AA">
        <w:rPr>
          <w:rFonts w:asciiTheme="majorBidi" w:hAnsiTheme="majorBidi" w:cstheme="majorBidi"/>
          <w:sz w:val="24"/>
          <w:szCs w:val="24"/>
          <w:lang w:bidi="ar-IQ"/>
        </w:rPr>
        <w:t>%) out of 66 patients on Imatinib</w:t>
      </w:r>
      <w:r w:rsidRPr="009967AA">
        <w:rPr>
          <w:rFonts w:asciiTheme="majorBidi" w:hAnsiTheme="majorBidi" w:cstheme="majorBidi"/>
          <w:sz w:val="24"/>
          <w:szCs w:val="24"/>
          <w:lang w:bidi="ar-IQ"/>
        </w:rPr>
        <w:t xml:space="preserve"> showed a minor </w:t>
      </w:r>
      <w:r w:rsidRPr="009967AA">
        <w:rPr>
          <w:rFonts w:asciiTheme="majorBidi" w:hAnsiTheme="majorBidi" w:cstheme="majorBidi"/>
          <w:sz w:val="24"/>
          <w:szCs w:val="24"/>
          <w:lang w:bidi="ar-IQ"/>
        </w:rPr>
        <w:lastRenderedPageBreak/>
        <w:t>elevation, while</w:t>
      </w:r>
      <w:r w:rsidR="008D030D" w:rsidRPr="009967AA">
        <w:rPr>
          <w:rFonts w:asciiTheme="majorBidi" w:hAnsiTheme="majorBidi" w:cstheme="majorBidi"/>
          <w:sz w:val="24"/>
          <w:szCs w:val="24"/>
          <w:lang w:bidi="ar-IQ"/>
        </w:rPr>
        <w:t xml:space="preserve"> 2 patients out of 28 on Nilotinib</w:t>
      </w:r>
      <w:r w:rsidRPr="009967AA">
        <w:rPr>
          <w:rFonts w:asciiTheme="majorBidi" w:hAnsiTheme="majorBidi" w:cstheme="majorBidi"/>
          <w:sz w:val="24"/>
          <w:szCs w:val="24"/>
          <w:lang w:bidi="ar-IQ"/>
        </w:rPr>
        <w:t xml:space="preserve"> (7.1%) showed a twice of normal level of amylase  enzyme</w:t>
      </w:r>
      <w:r w:rsidR="008C6460" w:rsidRPr="009967AA">
        <w:rPr>
          <w:rFonts w:asciiTheme="majorBidi" w:hAnsiTheme="majorBidi" w:cstheme="majorBidi"/>
          <w:sz w:val="24"/>
          <w:szCs w:val="24"/>
          <w:lang w:bidi="ar-IQ"/>
        </w:rPr>
        <w:t xml:space="preserve"> ( table 7)</w:t>
      </w:r>
      <w:r w:rsidRPr="009967AA">
        <w:rPr>
          <w:rFonts w:asciiTheme="majorBidi" w:hAnsiTheme="majorBidi" w:cstheme="majorBidi"/>
          <w:sz w:val="24"/>
          <w:szCs w:val="24"/>
          <w:lang w:bidi="ar-IQ"/>
        </w:rPr>
        <w:t>.</w:t>
      </w:r>
    </w:p>
    <w:p w:rsidR="00344CFF" w:rsidRDefault="00344CFF"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sectPr w:rsidR="00344CFF" w:rsidSect="00344CFF">
          <w:type w:val="continuous"/>
          <w:pgSz w:w="11906" w:h="16838"/>
          <w:pgMar w:top="818" w:right="1376" w:bottom="1440" w:left="1350" w:header="708" w:footer="708" w:gutter="0"/>
          <w:cols w:num="2" w:space="708"/>
          <w:docGrid w:linePitch="360"/>
        </w:sectPr>
      </w:pP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683"/>
        <w:gridCol w:w="1559"/>
        <w:gridCol w:w="1560"/>
        <w:gridCol w:w="1559"/>
      </w:tblGrid>
      <w:tr w:rsidR="00F17AEB" w:rsidRPr="009967AA" w:rsidTr="00BB697C">
        <w:trPr>
          <w:cantSplit/>
          <w:tblHeader/>
          <w:jc w:val="center"/>
        </w:trPr>
        <w:tc>
          <w:tcPr>
            <w:tcW w:w="7088" w:type="dxa"/>
            <w:gridSpan w:val="5"/>
            <w:tcBorders>
              <w:top w:val="nil"/>
              <w:left w:val="nil"/>
              <w:bottom w:val="nil"/>
              <w:right w:val="nil"/>
            </w:tcBorders>
            <w:shd w:val="clear" w:color="auto" w:fill="FFFFFF"/>
            <w:vAlign w:val="center"/>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p>
        </w:tc>
      </w:tr>
      <w:tr w:rsidR="00F17AEB" w:rsidRPr="009967AA" w:rsidTr="00BB697C">
        <w:trPr>
          <w:cantSplit/>
          <w:tblHeader/>
          <w:jc w:val="center"/>
        </w:trPr>
        <w:tc>
          <w:tcPr>
            <w:tcW w:w="7088" w:type="dxa"/>
            <w:gridSpan w:val="5"/>
            <w:tcBorders>
              <w:top w:val="nil"/>
              <w:left w:val="nil"/>
              <w:bottom w:val="nil"/>
              <w:right w:val="nil"/>
            </w:tcBorders>
            <w:shd w:val="clear" w:color="auto" w:fill="FFFFFF"/>
            <w:vAlign w:val="bottom"/>
          </w:tcPr>
          <w:p w:rsidR="00F17AEB" w:rsidRDefault="00AD100A" w:rsidP="00344CFF">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344CFF">
              <w:rPr>
                <w:rFonts w:asciiTheme="majorBidi" w:hAnsiTheme="majorBidi" w:cstheme="majorBidi"/>
                <w:b/>
                <w:bCs/>
                <w:color w:val="000000"/>
                <w:sz w:val="24"/>
                <w:szCs w:val="24"/>
                <w:u w:val="single"/>
              </w:rPr>
              <w:t xml:space="preserve">Table </w:t>
            </w:r>
            <w:r w:rsidR="007220C4" w:rsidRPr="00344CFF">
              <w:rPr>
                <w:rFonts w:asciiTheme="majorBidi" w:hAnsiTheme="majorBidi" w:cstheme="majorBidi"/>
                <w:b/>
                <w:bCs/>
                <w:color w:val="000000"/>
                <w:sz w:val="24"/>
                <w:szCs w:val="24"/>
                <w:u w:val="single"/>
              </w:rPr>
              <w:t>7</w:t>
            </w:r>
            <w:r w:rsidR="00344CFF" w:rsidRPr="00344CFF">
              <w:rPr>
                <w:rFonts w:asciiTheme="majorBidi" w:hAnsiTheme="majorBidi" w:cstheme="majorBidi"/>
                <w:b/>
                <w:bCs/>
                <w:color w:val="000000"/>
                <w:sz w:val="24"/>
                <w:szCs w:val="24"/>
                <w:u w:val="single"/>
              </w:rPr>
              <w:t>:</w:t>
            </w:r>
            <w:r w:rsidR="008D030D" w:rsidRPr="009967AA">
              <w:rPr>
                <w:rFonts w:asciiTheme="majorBidi" w:hAnsiTheme="majorBidi" w:cstheme="majorBidi"/>
                <w:color w:val="000000"/>
                <w:sz w:val="24"/>
                <w:szCs w:val="24"/>
              </w:rPr>
              <w:t xml:space="preserve">  Amylase Enzyme  in Imatinib</w:t>
            </w:r>
            <w:r w:rsidRPr="009967AA">
              <w:rPr>
                <w:rFonts w:asciiTheme="majorBidi" w:hAnsiTheme="majorBidi" w:cstheme="majorBidi"/>
                <w:color w:val="000000"/>
                <w:sz w:val="24"/>
                <w:szCs w:val="24"/>
              </w:rPr>
              <w:t xml:space="preserve">versus </w:t>
            </w:r>
            <w:r w:rsidR="008D030D" w:rsidRPr="009967AA">
              <w:rPr>
                <w:rFonts w:asciiTheme="majorBidi" w:hAnsiTheme="majorBidi" w:cstheme="majorBidi"/>
                <w:color w:val="000000"/>
                <w:sz w:val="24"/>
                <w:szCs w:val="24"/>
              </w:rPr>
              <w:t>Nilotinib</w:t>
            </w:r>
          </w:p>
          <w:p w:rsidR="00344CFF" w:rsidRPr="0076367F" w:rsidRDefault="00344CFF" w:rsidP="00344CFF">
            <w:pPr>
              <w:autoSpaceDE w:val="0"/>
              <w:autoSpaceDN w:val="0"/>
              <w:bidi w:val="0"/>
              <w:adjustRightInd w:val="0"/>
              <w:spacing w:after="0" w:line="240" w:lineRule="auto"/>
              <w:ind w:left="60" w:right="60"/>
              <w:jc w:val="both"/>
              <w:rPr>
                <w:rFonts w:asciiTheme="majorBidi" w:hAnsiTheme="majorBidi" w:cstheme="majorBidi"/>
                <w:color w:val="000000"/>
                <w:sz w:val="12"/>
                <w:szCs w:val="12"/>
              </w:rPr>
            </w:pPr>
          </w:p>
        </w:tc>
      </w:tr>
      <w:tr w:rsidR="00F17AEB" w:rsidRPr="009967AA" w:rsidTr="00BB697C">
        <w:trPr>
          <w:cantSplit/>
          <w:tblHeader/>
          <w:jc w:val="cent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17AEB" w:rsidRPr="009967AA" w:rsidRDefault="00F17AEB" w:rsidP="009967AA">
            <w:pPr>
              <w:autoSpaceDE w:val="0"/>
              <w:autoSpaceDN w:val="0"/>
              <w:bidi w:val="0"/>
              <w:adjustRightInd w:val="0"/>
              <w:spacing w:after="0" w:line="240" w:lineRule="auto"/>
              <w:jc w:val="both"/>
              <w:rPr>
                <w:rFonts w:asciiTheme="majorBidi" w:hAnsiTheme="majorBidi" w:cstheme="majorBidi"/>
                <w:sz w:val="24"/>
                <w:szCs w:val="24"/>
              </w:rPr>
            </w:pPr>
          </w:p>
        </w:tc>
        <w:tc>
          <w:tcPr>
            <w:tcW w:w="3119" w:type="dxa"/>
            <w:gridSpan w:val="2"/>
            <w:tcBorders>
              <w:top w:val="single" w:sz="16" w:space="0" w:color="000000"/>
              <w:left w:val="single" w:sz="16" w:space="0" w:color="000000"/>
            </w:tcBorders>
            <w:shd w:val="clear" w:color="auto" w:fill="FFFFFF"/>
            <w:vAlign w:val="bottom"/>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amylase</w:t>
            </w:r>
          </w:p>
        </w:tc>
        <w:tc>
          <w:tcPr>
            <w:tcW w:w="1559" w:type="dxa"/>
            <w:vMerge w:val="restart"/>
            <w:tcBorders>
              <w:top w:val="single" w:sz="16" w:space="0" w:color="000000"/>
              <w:bottom w:val="single" w:sz="16" w:space="0" w:color="000000"/>
              <w:right w:val="single" w:sz="16" w:space="0" w:color="000000"/>
            </w:tcBorders>
            <w:shd w:val="clear" w:color="auto" w:fill="FFFFFF"/>
            <w:vAlign w:val="bottom"/>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r>
      <w:tr w:rsidR="00F17AEB" w:rsidRPr="009967AA" w:rsidTr="00BB697C">
        <w:trPr>
          <w:cantSplit/>
          <w:trHeight w:val="40"/>
          <w:tblHeader/>
          <w:jc w:val="cent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17AEB" w:rsidRPr="009967AA" w:rsidRDefault="00F17AEB"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559" w:type="dxa"/>
            <w:tcBorders>
              <w:left w:val="single" w:sz="16" w:space="0" w:color="000000"/>
              <w:bottom w:val="single" w:sz="16" w:space="0" w:color="000000"/>
            </w:tcBorders>
            <w:shd w:val="clear" w:color="auto" w:fill="FFFFFF"/>
            <w:vAlign w:val="bottom"/>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Normal</w:t>
            </w:r>
          </w:p>
        </w:tc>
        <w:tc>
          <w:tcPr>
            <w:tcW w:w="1560" w:type="dxa"/>
            <w:tcBorders>
              <w:bottom w:val="single" w:sz="16" w:space="0" w:color="000000"/>
            </w:tcBorders>
            <w:shd w:val="clear" w:color="auto" w:fill="FFFFFF"/>
            <w:vAlign w:val="bottom"/>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Elevated</w:t>
            </w:r>
          </w:p>
        </w:tc>
        <w:tc>
          <w:tcPr>
            <w:tcW w:w="1559" w:type="dxa"/>
            <w:vMerge/>
            <w:tcBorders>
              <w:top w:val="single" w:sz="16" w:space="0" w:color="000000"/>
              <w:bottom w:val="single" w:sz="16" w:space="0" w:color="000000"/>
              <w:right w:val="single" w:sz="16" w:space="0" w:color="000000"/>
            </w:tcBorders>
            <w:shd w:val="clear" w:color="auto" w:fill="FFFFFF"/>
            <w:vAlign w:val="bottom"/>
          </w:tcPr>
          <w:p w:rsidR="00F17AEB" w:rsidRPr="009967AA" w:rsidRDefault="00F17AEB"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r>
      <w:tr w:rsidR="00F17AEB" w:rsidRPr="009967AA" w:rsidTr="00BB697C">
        <w:trPr>
          <w:cantSplit/>
          <w:tblHeader/>
          <w:jc w:val="center"/>
        </w:trPr>
        <w:tc>
          <w:tcPr>
            <w:tcW w:w="727" w:type="dxa"/>
            <w:vMerge w:val="restart"/>
            <w:tcBorders>
              <w:top w:val="single" w:sz="16" w:space="0" w:color="000000"/>
              <w:left w:val="single" w:sz="16" w:space="0" w:color="000000"/>
              <w:bottom w:val="nil"/>
              <w:right w:val="nil"/>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 xml:space="preserve">Drug       </w:t>
            </w:r>
          </w:p>
        </w:tc>
        <w:tc>
          <w:tcPr>
            <w:tcW w:w="1683" w:type="dxa"/>
            <w:tcBorders>
              <w:top w:val="single" w:sz="16" w:space="0" w:color="000000"/>
              <w:left w:val="nil"/>
              <w:bottom w:val="nil"/>
              <w:right w:val="single" w:sz="16" w:space="0" w:color="000000"/>
            </w:tcBorders>
            <w:shd w:val="clear" w:color="auto" w:fill="FFFFFF"/>
          </w:tcPr>
          <w:p w:rsidR="00F17AEB" w:rsidRPr="009967AA" w:rsidRDefault="008D030D" w:rsidP="009967AA">
            <w:pPr>
              <w:autoSpaceDE w:val="0"/>
              <w:autoSpaceDN w:val="0"/>
              <w:bidi w:val="0"/>
              <w:adjustRightInd w:val="0"/>
              <w:spacing w:after="0" w:line="240" w:lineRule="auto"/>
              <w:ind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Imatinib</w:t>
            </w:r>
          </w:p>
        </w:tc>
        <w:tc>
          <w:tcPr>
            <w:tcW w:w="1559" w:type="dxa"/>
            <w:tcBorders>
              <w:top w:val="single" w:sz="16" w:space="0" w:color="000000"/>
              <w:left w:val="single" w:sz="16" w:space="0" w:color="000000"/>
              <w:bottom w:val="nil"/>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63</w:t>
            </w:r>
          </w:p>
        </w:tc>
        <w:tc>
          <w:tcPr>
            <w:tcW w:w="1560" w:type="dxa"/>
            <w:tcBorders>
              <w:top w:val="single" w:sz="16" w:space="0" w:color="000000"/>
              <w:bottom w:val="nil"/>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3</w:t>
            </w:r>
            <w:r w:rsidR="00F85D9B" w:rsidRPr="009967AA">
              <w:rPr>
                <w:rFonts w:asciiTheme="majorBidi" w:hAnsiTheme="majorBidi" w:cstheme="majorBidi"/>
                <w:color w:val="000000"/>
                <w:sz w:val="24"/>
                <w:szCs w:val="24"/>
              </w:rPr>
              <w:t xml:space="preserve">   (4.5%)</w:t>
            </w:r>
          </w:p>
        </w:tc>
        <w:tc>
          <w:tcPr>
            <w:tcW w:w="1559" w:type="dxa"/>
            <w:tcBorders>
              <w:top w:val="single" w:sz="16" w:space="0" w:color="000000"/>
              <w:bottom w:val="nil"/>
              <w:right w:val="single" w:sz="16" w:space="0" w:color="000000"/>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66</w:t>
            </w:r>
          </w:p>
        </w:tc>
      </w:tr>
      <w:tr w:rsidR="00F17AEB" w:rsidRPr="009967AA" w:rsidTr="00BB697C">
        <w:trPr>
          <w:cantSplit/>
          <w:tblHeader/>
          <w:jc w:val="center"/>
        </w:trPr>
        <w:tc>
          <w:tcPr>
            <w:tcW w:w="727" w:type="dxa"/>
            <w:vMerge/>
            <w:tcBorders>
              <w:top w:val="single" w:sz="16" w:space="0" w:color="000000"/>
              <w:left w:val="single" w:sz="16" w:space="0" w:color="000000"/>
              <w:bottom w:val="single" w:sz="4" w:space="0" w:color="auto"/>
              <w:right w:val="nil"/>
            </w:tcBorders>
            <w:shd w:val="clear" w:color="auto" w:fill="FFFFFF"/>
          </w:tcPr>
          <w:p w:rsidR="00F17AEB" w:rsidRPr="009967AA" w:rsidRDefault="00F17AEB" w:rsidP="009967AA">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683" w:type="dxa"/>
            <w:tcBorders>
              <w:top w:val="nil"/>
              <w:left w:val="nil"/>
              <w:bottom w:val="single" w:sz="4" w:space="0" w:color="auto"/>
              <w:right w:val="single" w:sz="16" w:space="0" w:color="000000"/>
            </w:tcBorders>
            <w:shd w:val="clear" w:color="auto" w:fill="FFFFFF"/>
          </w:tcPr>
          <w:p w:rsidR="00F17AEB" w:rsidRPr="009967AA" w:rsidRDefault="008D030D"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Nilotinib</w:t>
            </w:r>
          </w:p>
        </w:tc>
        <w:tc>
          <w:tcPr>
            <w:tcW w:w="1559" w:type="dxa"/>
            <w:tcBorders>
              <w:top w:val="nil"/>
              <w:left w:val="single" w:sz="16" w:space="0" w:color="000000"/>
              <w:bottom w:val="single" w:sz="4" w:space="0" w:color="auto"/>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26</w:t>
            </w:r>
          </w:p>
        </w:tc>
        <w:tc>
          <w:tcPr>
            <w:tcW w:w="1560" w:type="dxa"/>
            <w:tcBorders>
              <w:top w:val="nil"/>
              <w:bottom w:val="single" w:sz="4" w:space="0" w:color="auto"/>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w:t>
            </w:r>
            <w:r w:rsidR="00F85D9B" w:rsidRPr="009967AA">
              <w:rPr>
                <w:rFonts w:asciiTheme="majorBidi" w:hAnsiTheme="majorBidi" w:cstheme="majorBidi"/>
                <w:color w:val="000000"/>
                <w:sz w:val="24"/>
                <w:szCs w:val="24"/>
              </w:rPr>
              <w:t xml:space="preserve">   (7.1%)</w:t>
            </w:r>
          </w:p>
        </w:tc>
        <w:tc>
          <w:tcPr>
            <w:tcW w:w="1559" w:type="dxa"/>
            <w:tcBorders>
              <w:top w:val="nil"/>
              <w:bottom w:val="single" w:sz="4" w:space="0" w:color="auto"/>
              <w:right w:val="single" w:sz="16" w:space="0" w:color="000000"/>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28</w:t>
            </w:r>
          </w:p>
        </w:tc>
      </w:tr>
      <w:tr w:rsidR="00F17AEB" w:rsidRPr="009967AA" w:rsidTr="00BB697C">
        <w:trPr>
          <w:cantSplit/>
          <w:jc w:val="center"/>
        </w:trPr>
        <w:tc>
          <w:tcPr>
            <w:tcW w:w="2410" w:type="dxa"/>
            <w:gridSpan w:val="2"/>
            <w:tcBorders>
              <w:top w:val="single" w:sz="4" w:space="0" w:color="auto"/>
              <w:left w:val="single" w:sz="16" w:space="0" w:color="000000"/>
              <w:bottom w:val="single" w:sz="16" w:space="0" w:color="000000"/>
              <w:right w:val="single" w:sz="16" w:space="0" w:color="000000"/>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Total</w:t>
            </w:r>
          </w:p>
        </w:tc>
        <w:tc>
          <w:tcPr>
            <w:tcW w:w="1559" w:type="dxa"/>
            <w:tcBorders>
              <w:top w:val="single" w:sz="4" w:space="0" w:color="auto"/>
              <w:left w:val="single" w:sz="16" w:space="0" w:color="000000"/>
              <w:bottom w:val="single" w:sz="16" w:space="0" w:color="000000"/>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89</w:t>
            </w:r>
          </w:p>
        </w:tc>
        <w:tc>
          <w:tcPr>
            <w:tcW w:w="1560" w:type="dxa"/>
            <w:tcBorders>
              <w:top w:val="single" w:sz="4" w:space="0" w:color="auto"/>
              <w:bottom w:val="single" w:sz="16" w:space="0" w:color="000000"/>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5</w:t>
            </w:r>
          </w:p>
        </w:tc>
        <w:tc>
          <w:tcPr>
            <w:tcW w:w="1559" w:type="dxa"/>
            <w:tcBorders>
              <w:top w:val="single" w:sz="4" w:space="0" w:color="auto"/>
              <w:bottom w:val="single" w:sz="16" w:space="0" w:color="000000"/>
              <w:right w:val="single" w:sz="16" w:space="0" w:color="000000"/>
            </w:tcBorders>
            <w:shd w:val="clear" w:color="auto" w:fill="FFFFFF"/>
          </w:tcPr>
          <w:p w:rsidR="00F17AEB" w:rsidRPr="009967AA" w:rsidRDefault="00F17AEB" w:rsidP="009967AA">
            <w:pPr>
              <w:autoSpaceDE w:val="0"/>
              <w:autoSpaceDN w:val="0"/>
              <w:bidi w:val="0"/>
              <w:adjustRightInd w:val="0"/>
              <w:spacing w:after="0" w:line="240" w:lineRule="auto"/>
              <w:ind w:left="60" w:right="60"/>
              <w:jc w:val="both"/>
              <w:rPr>
                <w:rFonts w:asciiTheme="majorBidi" w:hAnsiTheme="majorBidi" w:cstheme="majorBidi"/>
                <w:color w:val="000000"/>
                <w:sz w:val="24"/>
                <w:szCs w:val="24"/>
              </w:rPr>
            </w:pPr>
            <w:r w:rsidRPr="009967AA">
              <w:rPr>
                <w:rFonts w:asciiTheme="majorBidi" w:hAnsiTheme="majorBidi" w:cstheme="majorBidi"/>
                <w:color w:val="000000"/>
                <w:sz w:val="24"/>
                <w:szCs w:val="24"/>
              </w:rPr>
              <w:t>94</w:t>
            </w:r>
          </w:p>
        </w:tc>
      </w:tr>
    </w:tbl>
    <w:p w:rsidR="00344CFF" w:rsidRDefault="00344CFF" w:rsidP="00344CFF">
      <w:pPr>
        <w:bidi w:val="0"/>
        <w:spacing w:after="0" w:line="240" w:lineRule="auto"/>
        <w:jc w:val="both"/>
        <w:rPr>
          <w:rFonts w:asciiTheme="majorBidi" w:hAnsiTheme="majorBidi" w:cstheme="majorBidi"/>
          <w:b/>
          <w:bCs/>
          <w:sz w:val="24"/>
          <w:szCs w:val="24"/>
          <w:u w:val="single"/>
          <w:lang w:bidi="ar-IQ"/>
        </w:rPr>
        <w:sectPr w:rsidR="00344CFF" w:rsidSect="001F4A25">
          <w:type w:val="continuous"/>
          <w:pgSz w:w="11906" w:h="16838"/>
          <w:pgMar w:top="818" w:right="1376" w:bottom="1440" w:left="1350" w:header="708" w:footer="708" w:gutter="0"/>
          <w:cols w:space="708"/>
          <w:docGrid w:linePitch="360"/>
        </w:sectPr>
      </w:pPr>
    </w:p>
    <w:p w:rsidR="003B6F7E" w:rsidRDefault="003B6F7E" w:rsidP="00BB697C">
      <w:pPr>
        <w:bidi w:val="0"/>
        <w:spacing w:after="0" w:line="240" w:lineRule="auto"/>
        <w:jc w:val="both"/>
        <w:rPr>
          <w:rFonts w:asciiTheme="majorBidi" w:hAnsiTheme="majorBidi" w:cstheme="majorBidi"/>
          <w:b/>
          <w:bCs/>
          <w:sz w:val="24"/>
          <w:szCs w:val="24"/>
          <w:u w:val="single"/>
          <w:lang w:bidi="ar-IQ"/>
        </w:rPr>
        <w:sectPr w:rsidR="003B6F7E" w:rsidSect="001F4A25">
          <w:type w:val="continuous"/>
          <w:pgSz w:w="11906" w:h="16838"/>
          <w:pgMar w:top="818" w:right="1376" w:bottom="1440" w:left="1350" w:header="708" w:footer="708" w:gutter="0"/>
          <w:cols w:space="708"/>
          <w:docGrid w:linePitch="360"/>
        </w:sectPr>
      </w:pPr>
      <w:bookmarkStart w:id="0" w:name="_GoBack"/>
      <w:bookmarkEnd w:id="0"/>
    </w:p>
    <w:p w:rsidR="009534A2" w:rsidRPr="009967AA" w:rsidRDefault="00344CFF" w:rsidP="003B6F7E">
      <w:pPr>
        <w:bidi w:val="0"/>
        <w:spacing w:after="0" w:line="240" w:lineRule="auto"/>
        <w:jc w:val="both"/>
        <w:rPr>
          <w:rFonts w:asciiTheme="majorBidi" w:hAnsiTheme="majorBidi" w:cstheme="majorBidi"/>
          <w:b/>
          <w:bCs/>
          <w:sz w:val="24"/>
          <w:szCs w:val="24"/>
          <w:u w:val="single"/>
          <w:rtl/>
          <w:lang w:bidi="ar-IQ"/>
        </w:rPr>
      </w:pPr>
      <w:r>
        <w:rPr>
          <w:rFonts w:asciiTheme="majorBidi" w:hAnsiTheme="majorBidi" w:cstheme="majorBidi"/>
          <w:b/>
          <w:bCs/>
          <w:sz w:val="24"/>
          <w:szCs w:val="24"/>
          <w:u w:val="single"/>
          <w:lang w:bidi="ar-IQ"/>
        </w:rPr>
        <w:lastRenderedPageBreak/>
        <w:t>Discussion</w:t>
      </w:r>
    </w:p>
    <w:p w:rsidR="00AD100A" w:rsidRPr="009967AA" w:rsidRDefault="00600A4F" w:rsidP="00344CFF">
      <w:pPr>
        <w:bidi w:val="0"/>
        <w:spacing w:after="0" w:line="240" w:lineRule="auto"/>
        <w:jc w:val="both"/>
        <w:rPr>
          <w:rFonts w:asciiTheme="majorBidi" w:hAnsiTheme="majorBidi" w:cstheme="majorBidi"/>
          <w:sz w:val="24"/>
          <w:szCs w:val="24"/>
          <w:vertAlign w:val="superscript"/>
          <w:lang w:bidi="ar-IQ"/>
        </w:rPr>
      </w:pPr>
      <w:r w:rsidRPr="009967AA">
        <w:rPr>
          <w:rFonts w:asciiTheme="majorBidi" w:hAnsiTheme="majorBidi" w:cstheme="majorBidi"/>
          <w:sz w:val="24"/>
          <w:szCs w:val="24"/>
          <w:lang w:bidi="ar-IQ"/>
        </w:rPr>
        <w:t xml:space="preserve">The </w:t>
      </w:r>
      <w:r w:rsidR="00414BDD" w:rsidRPr="009967AA">
        <w:rPr>
          <w:rFonts w:asciiTheme="majorBidi" w:hAnsiTheme="majorBidi" w:cstheme="majorBidi"/>
          <w:sz w:val="24"/>
          <w:szCs w:val="24"/>
          <w:lang w:bidi="ar-IQ"/>
        </w:rPr>
        <w:t xml:space="preserve"> current available first line treatments for </w:t>
      </w:r>
      <w:r w:rsidR="00387C5F" w:rsidRPr="009967AA">
        <w:rPr>
          <w:rFonts w:asciiTheme="majorBidi" w:hAnsiTheme="majorBidi" w:cstheme="majorBidi"/>
          <w:sz w:val="24"/>
          <w:szCs w:val="24"/>
          <w:lang w:bidi="ar-IQ"/>
        </w:rPr>
        <w:t>CML are targeted therapy (T</w:t>
      </w:r>
      <w:r w:rsidR="00414BDD" w:rsidRPr="009967AA">
        <w:rPr>
          <w:rFonts w:asciiTheme="majorBidi" w:hAnsiTheme="majorBidi" w:cstheme="majorBidi"/>
          <w:sz w:val="24"/>
          <w:szCs w:val="24"/>
          <w:lang w:bidi="ar-IQ"/>
        </w:rPr>
        <w:t>yrosine kinase BCR-ABL</w:t>
      </w:r>
      <w:r w:rsidR="00387C5F" w:rsidRPr="009967AA">
        <w:rPr>
          <w:rFonts w:asciiTheme="majorBidi" w:hAnsiTheme="majorBidi" w:cstheme="majorBidi"/>
          <w:sz w:val="24"/>
          <w:szCs w:val="24"/>
          <w:lang w:bidi="ar-IQ"/>
        </w:rPr>
        <w:t xml:space="preserve"> inhibitors</w:t>
      </w:r>
      <w:r w:rsidR="00414BDD" w:rsidRPr="009967AA">
        <w:rPr>
          <w:rFonts w:asciiTheme="majorBidi" w:hAnsiTheme="majorBidi" w:cstheme="majorBidi"/>
          <w:sz w:val="24"/>
          <w:szCs w:val="24"/>
          <w:lang w:bidi="ar-IQ"/>
        </w:rPr>
        <w:t xml:space="preserve">) imatinib </w:t>
      </w:r>
      <w:r w:rsidR="00414BDD" w:rsidRPr="009967AA">
        <w:rPr>
          <w:rFonts w:asciiTheme="majorBidi" w:hAnsiTheme="majorBidi" w:cstheme="majorBidi"/>
          <w:sz w:val="24"/>
          <w:szCs w:val="24"/>
          <w:lang w:bidi="ar-IQ"/>
        </w:rPr>
        <w:lastRenderedPageBreak/>
        <w:t>(Gleevec</w:t>
      </w:r>
      <w:r w:rsidR="00387C5F" w:rsidRPr="009967AA">
        <w:rPr>
          <w:rFonts w:asciiTheme="majorBidi" w:hAnsiTheme="majorBidi" w:cstheme="majorBidi"/>
          <w:sz w:val="24"/>
          <w:szCs w:val="24"/>
          <w:vertAlign w:val="superscript"/>
          <w:lang w:bidi="ar-IQ"/>
        </w:rPr>
        <w:t>®</w:t>
      </w:r>
      <w:r w:rsidR="00BB697C">
        <w:rPr>
          <w:rFonts w:asciiTheme="majorBidi" w:hAnsiTheme="majorBidi" w:cstheme="majorBidi"/>
          <w:sz w:val="24"/>
          <w:szCs w:val="24"/>
          <w:lang w:bidi="ar-IQ"/>
        </w:rPr>
        <w:t>) and then nilotinib (</w:t>
      </w:r>
      <w:r w:rsidR="00414BDD" w:rsidRPr="009967AA">
        <w:rPr>
          <w:rFonts w:asciiTheme="majorBidi" w:hAnsiTheme="majorBidi" w:cstheme="majorBidi"/>
          <w:sz w:val="24"/>
          <w:szCs w:val="24"/>
          <w:lang w:bidi="ar-IQ"/>
        </w:rPr>
        <w:t>Tasigna</w:t>
      </w:r>
      <w:r w:rsidR="00387C5F" w:rsidRPr="009967AA">
        <w:rPr>
          <w:rFonts w:asciiTheme="majorBidi" w:hAnsiTheme="majorBidi" w:cstheme="majorBidi"/>
          <w:sz w:val="24"/>
          <w:szCs w:val="24"/>
          <w:vertAlign w:val="superscript"/>
          <w:lang w:bidi="ar-IQ"/>
        </w:rPr>
        <w:t>®</w:t>
      </w:r>
      <w:r w:rsidR="00414BDD" w:rsidRPr="009967AA">
        <w:rPr>
          <w:rFonts w:asciiTheme="majorBidi" w:hAnsiTheme="majorBidi" w:cstheme="majorBidi"/>
          <w:sz w:val="24"/>
          <w:szCs w:val="24"/>
          <w:lang w:bidi="ar-IQ"/>
        </w:rPr>
        <w:t>). The choice of one of these targeted treatment depends on many fac</w:t>
      </w:r>
      <w:r w:rsidR="00387C5F" w:rsidRPr="009967AA">
        <w:rPr>
          <w:rFonts w:asciiTheme="majorBidi" w:hAnsiTheme="majorBidi" w:cstheme="majorBidi"/>
          <w:sz w:val="24"/>
          <w:szCs w:val="24"/>
          <w:lang w:bidi="ar-IQ"/>
        </w:rPr>
        <w:t>tors, the most important being the</w:t>
      </w:r>
      <w:r w:rsidR="00414BDD" w:rsidRPr="009967AA">
        <w:rPr>
          <w:rFonts w:asciiTheme="majorBidi" w:hAnsiTheme="majorBidi" w:cstheme="majorBidi"/>
          <w:sz w:val="24"/>
          <w:szCs w:val="24"/>
          <w:lang w:bidi="ar-IQ"/>
        </w:rPr>
        <w:t xml:space="preserve"> deeper molecular </w:t>
      </w:r>
      <w:r w:rsidR="00414BDD" w:rsidRPr="009967AA">
        <w:rPr>
          <w:rFonts w:asciiTheme="majorBidi" w:hAnsiTheme="majorBidi" w:cstheme="majorBidi"/>
          <w:sz w:val="24"/>
          <w:szCs w:val="24"/>
          <w:lang w:bidi="ar-IQ"/>
        </w:rPr>
        <w:lastRenderedPageBreak/>
        <w:t xml:space="preserve">response, treatment </w:t>
      </w:r>
      <w:r w:rsidR="00387C5F" w:rsidRPr="009967AA">
        <w:rPr>
          <w:rFonts w:asciiTheme="majorBidi" w:hAnsiTheme="majorBidi" w:cstheme="majorBidi"/>
          <w:sz w:val="24"/>
          <w:szCs w:val="24"/>
          <w:lang w:bidi="ar-IQ"/>
        </w:rPr>
        <w:t xml:space="preserve">- </w:t>
      </w:r>
      <w:r w:rsidR="00414BDD" w:rsidRPr="009967AA">
        <w:rPr>
          <w:rFonts w:asciiTheme="majorBidi" w:hAnsiTheme="majorBidi" w:cstheme="majorBidi"/>
          <w:sz w:val="24"/>
          <w:szCs w:val="24"/>
          <w:lang w:bidi="ar-IQ"/>
        </w:rPr>
        <w:t>free survival and of course financial costs</w:t>
      </w:r>
      <w:r w:rsidR="00353DDA" w:rsidRPr="009967AA">
        <w:rPr>
          <w:rFonts w:asciiTheme="majorBidi" w:hAnsiTheme="majorBidi" w:cstheme="majorBidi"/>
          <w:sz w:val="24"/>
          <w:szCs w:val="24"/>
          <w:lang w:bidi="ar-IQ"/>
        </w:rPr>
        <w:t>[13]</w:t>
      </w:r>
      <w:r w:rsidR="00414BDD" w:rsidRPr="009967AA">
        <w:rPr>
          <w:rFonts w:asciiTheme="majorBidi" w:hAnsiTheme="majorBidi" w:cstheme="majorBidi"/>
          <w:sz w:val="24"/>
          <w:szCs w:val="24"/>
          <w:lang w:bidi="ar-IQ"/>
        </w:rPr>
        <w:t>.</w:t>
      </w:r>
    </w:p>
    <w:p w:rsidR="00414BDD" w:rsidRPr="009967AA" w:rsidRDefault="00414BDD" w:rsidP="00344CFF">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 xml:space="preserve">In the present study, 66 CML patients </w:t>
      </w:r>
      <w:r w:rsidR="00387C5F" w:rsidRPr="009967AA">
        <w:rPr>
          <w:rFonts w:asciiTheme="majorBidi" w:hAnsiTheme="majorBidi" w:cstheme="majorBidi"/>
          <w:sz w:val="24"/>
          <w:szCs w:val="24"/>
          <w:lang w:bidi="ar-IQ"/>
        </w:rPr>
        <w:t>received 400 mg daily of Imatinib were followed for their</w:t>
      </w:r>
      <w:r w:rsidR="00595E92" w:rsidRPr="009967AA">
        <w:rPr>
          <w:rFonts w:asciiTheme="majorBidi" w:hAnsiTheme="majorBidi" w:cstheme="majorBidi"/>
          <w:sz w:val="24"/>
          <w:szCs w:val="24"/>
          <w:lang w:bidi="ar-IQ"/>
        </w:rPr>
        <w:t>, hematological ,</w:t>
      </w:r>
      <w:r w:rsidRPr="009967AA">
        <w:rPr>
          <w:rFonts w:asciiTheme="majorBidi" w:hAnsiTheme="majorBidi" w:cstheme="majorBidi"/>
          <w:sz w:val="24"/>
          <w:szCs w:val="24"/>
          <w:lang w:bidi="ar-IQ"/>
        </w:rPr>
        <w:t>cytogenetic and molecular</w:t>
      </w:r>
      <w:r w:rsidR="00387C5F" w:rsidRPr="009967AA">
        <w:rPr>
          <w:rFonts w:asciiTheme="majorBidi" w:hAnsiTheme="majorBidi" w:cstheme="majorBidi"/>
          <w:sz w:val="24"/>
          <w:szCs w:val="24"/>
          <w:lang w:bidi="ar-IQ"/>
        </w:rPr>
        <w:t xml:space="preserve"> responses</w:t>
      </w:r>
      <w:r w:rsidR="00595E92" w:rsidRPr="009967AA">
        <w:rPr>
          <w:rFonts w:asciiTheme="majorBidi" w:hAnsiTheme="majorBidi" w:cstheme="majorBidi"/>
          <w:sz w:val="24"/>
          <w:szCs w:val="24"/>
          <w:lang w:bidi="ar-IQ"/>
        </w:rPr>
        <w:t xml:space="preserve"> from the time of diagnosis, all showed hematological response during the study period, (86.3%) achieved complete cy</w:t>
      </w:r>
      <w:r w:rsidR="00BB697C">
        <w:rPr>
          <w:rFonts w:asciiTheme="majorBidi" w:hAnsiTheme="majorBidi" w:cstheme="majorBidi"/>
          <w:sz w:val="24"/>
          <w:szCs w:val="24"/>
          <w:lang w:bidi="ar-IQ"/>
        </w:rPr>
        <w:t>togenetic response, (</w:t>
      </w:r>
      <w:r w:rsidR="00387C5F" w:rsidRPr="009967AA">
        <w:rPr>
          <w:rFonts w:asciiTheme="majorBidi" w:hAnsiTheme="majorBidi" w:cstheme="majorBidi"/>
          <w:sz w:val="24"/>
          <w:szCs w:val="24"/>
          <w:lang w:bidi="ar-IQ"/>
        </w:rPr>
        <w:t xml:space="preserve">37.8%) were </w:t>
      </w:r>
      <w:r w:rsidR="00595E92" w:rsidRPr="009967AA">
        <w:rPr>
          <w:rFonts w:asciiTheme="majorBidi" w:hAnsiTheme="majorBidi" w:cstheme="majorBidi"/>
          <w:sz w:val="24"/>
          <w:szCs w:val="24"/>
          <w:lang w:bidi="ar-IQ"/>
        </w:rPr>
        <w:t>optimal response and (48.4%) had dela</w:t>
      </w:r>
      <w:r w:rsidR="004001CD" w:rsidRPr="009967AA">
        <w:rPr>
          <w:rFonts w:asciiTheme="majorBidi" w:hAnsiTheme="majorBidi" w:cstheme="majorBidi"/>
          <w:sz w:val="24"/>
          <w:szCs w:val="24"/>
          <w:lang w:bidi="ar-IQ"/>
        </w:rPr>
        <w:t xml:space="preserve">yed response </w:t>
      </w:r>
      <w:r w:rsidR="00922A54" w:rsidRPr="009967AA">
        <w:rPr>
          <w:rFonts w:asciiTheme="majorBidi" w:hAnsiTheme="majorBidi" w:cstheme="majorBidi"/>
          <w:sz w:val="24"/>
          <w:szCs w:val="24"/>
          <w:lang w:bidi="ar-IQ"/>
        </w:rPr>
        <w:t xml:space="preserve">(suboptimal) </w:t>
      </w:r>
      <w:r w:rsidR="00387C5F" w:rsidRPr="009967AA">
        <w:rPr>
          <w:rFonts w:asciiTheme="majorBidi" w:hAnsiTheme="majorBidi" w:cstheme="majorBidi"/>
          <w:sz w:val="24"/>
          <w:szCs w:val="24"/>
          <w:lang w:bidi="ar-IQ"/>
        </w:rPr>
        <w:t>more than one year.</w:t>
      </w:r>
      <w:r w:rsidR="004001CD" w:rsidRPr="009967AA">
        <w:rPr>
          <w:rFonts w:asciiTheme="majorBidi" w:hAnsiTheme="majorBidi" w:cstheme="majorBidi"/>
          <w:sz w:val="24"/>
          <w:szCs w:val="24"/>
          <w:lang w:bidi="ar-IQ"/>
        </w:rPr>
        <w:t xml:space="preserve"> (13.6%) showed no response, likewise, Rajappa et at had shown  complet</w:t>
      </w:r>
      <w:r w:rsidR="00922A54" w:rsidRPr="009967AA">
        <w:rPr>
          <w:rFonts w:asciiTheme="majorBidi" w:hAnsiTheme="majorBidi" w:cstheme="majorBidi"/>
          <w:sz w:val="24"/>
          <w:szCs w:val="24"/>
          <w:lang w:bidi="ar-IQ"/>
        </w:rPr>
        <w:t xml:space="preserve">e cytogenetic </w:t>
      </w:r>
      <w:r w:rsidR="00B72580" w:rsidRPr="009967AA">
        <w:rPr>
          <w:rFonts w:asciiTheme="majorBidi" w:hAnsiTheme="majorBidi" w:cstheme="majorBidi"/>
          <w:sz w:val="24"/>
          <w:szCs w:val="24"/>
          <w:lang w:bidi="ar-IQ"/>
        </w:rPr>
        <w:t xml:space="preserve"> response  had been</w:t>
      </w:r>
      <w:r w:rsidR="004001CD" w:rsidRPr="009967AA">
        <w:rPr>
          <w:rFonts w:asciiTheme="majorBidi" w:hAnsiTheme="majorBidi" w:cstheme="majorBidi"/>
          <w:sz w:val="24"/>
          <w:szCs w:val="24"/>
          <w:lang w:bidi="ar-IQ"/>
        </w:rPr>
        <w:t xml:space="preserve"> achieved in 56%,  partial response in 23%, minor response in 17% and no response in 4% patients after a median follow up of 29.5 months</w:t>
      </w:r>
      <w:r w:rsidR="00353DDA" w:rsidRPr="009967AA">
        <w:rPr>
          <w:rFonts w:asciiTheme="majorBidi" w:hAnsiTheme="majorBidi" w:cstheme="majorBidi"/>
          <w:sz w:val="24"/>
          <w:szCs w:val="24"/>
          <w:lang w:bidi="ar-IQ"/>
        </w:rPr>
        <w:t>[14]</w:t>
      </w:r>
      <w:r w:rsidR="004001CD" w:rsidRPr="009967AA">
        <w:rPr>
          <w:rFonts w:asciiTheme="majorBidi" w:hAnsiTheme="majorBidi" w:cstheme="majorBidi"/>
          <w:sz w:val="24"/>
          <w:szCs w:val="24"/>
          <w:lang w:bidi="ar-IQ"/>
        </w:rPr>
        <w:t>.</w:t>
      </w:r>
    </w:p>
    <w:p w:rsidR="004001CD" w:rsidRPr="00BB697C" w:rsidRDefault="004001CD" w:rsidP="00344CFF">
      <w:pPr>
        <w:bidi w:val="0"/>
        <w:spacing w:after="0" w:line="240" w:lineRule="auto"/>
        <w:jc w:val="both"/>
        <w:rPr>
          <w:rFonts w:asciiTheme="majorBidi" w:hAnsiTheme="majorBidi" w:cstheme="majorBidi"/>
          <w:sz w:val="24"/>
          <w:szCs w:val="24"/>
          <w:rtl/>
          <w:lang w:bidi="ar-IQ"/>
        </w:rPr>
      </w:pPr>
      <w:r w:rsidRPr="009967AA">
        <w:rPr>
          <w:rFonts w:asciiTheme="majorBidi" w:hAnsiTheme="majorBidi" w:cstheme="majorBidi"/>
          <w:sz w:val="24"/>
          <w:szCs w:val="24"/>
          <w:lang w:bidi="ar-IQ"/>
        </w:rPr>
        <w:t>When the results of this study compared to that of IRIS study; at phase 3 IRIS study with median follow up of 12 months, the estimated rates of complete hematological response (CHR) for patients</w:t>
      </w:r>
      <w:r w:rsidR="00FC5A3A" w:rsidRPr="009967AA">
        <w:rPr>
          <w:rFonts w:asciiTheme="majorBidi" w:hAnsiTheme="majorBidi" w:cstheme="majorBidi"/>
          <w:sz w:val="24"/>
          <w:szCs w:val="24"/>
          <w:lang w:bidi="ar-IQ"/>
        </w:rPr>
        <w:t xml:space="preserve"> tre</w:t>
      </w:r>
      <w:r w:rsidR="00BB697C">
        <w:rPr>
          <w:rFonts w:asciiTheme="majorBidi" w:hAnsiTheme="majorBidi" w:cstheme="majorBidi"/>
          <w:sz w:val="24"/>
          <w:szCs w:val="24"/>
          <w:lang w:bidi="ar-IQ"/>
        </w:rPr>
        <w:t>ated with imatinib were 90.48%,</w:t>
      </w:r>
      <w:r w:rsidR="00FC5A3A" w:rsidRPr="009967AA">
        <w:rPr>
          <w:rFonts w:asciiTheme="majorBidi" w:hAnsiTheme="majorBidi" w:cstheme="majorBidi"/>
          <w:sz w:val="24"/>
          <w:szCs w:val="24"/>
          <w:lang w:bidi="ar-IQ"/>
        </w:rPr>
        <w:t xml:space="preserve"> complete cytogenetic response </w:t>
      </w:r>
      <w:r w:rsidR="00E2357F" w:rsidRPr="009967AA">
        <w:rPr>
          <w:rFonts w:asciiTheme="majorBidi" w:hAnsiTheme="majorBidi" w:cstheme="majorBidi"/>
          <w:sz w:val="24"/>
          <w:szCs w:val="24"/>
          <w:lang w:bidi="ar-IQ"/>
        </w:rPr>
        <w:t>(</w:t>
      </w:r>
      <w:r w:rsidR="00FC5A3A" w:rsidRPr="009967AA">
        <w:rPr>
          <w:rFonts w:asciiTheme="majorBidi" w:hAnsiTheme="majorBidi" w:cstheme="majorBidi"/>
          <w:sz w:val="24"/>
          <w:szCs w:val="24"/>
          <w:lang w:bidi="ar-IQ"/>
        </w:rPr>
        <w:t>92.9</w:t>
      </w:r>
      <w:r w:rsidR="00E2357F" w:rsidRPr="009967AA">
        <w:rPr>
          <w:rFonts w:asciiTheme="majorBidi" w:hAnsiTheme="majorBidi" w:cstheme="majorBidi"/>
          <w:sz w:val="24"/>
          <w:szCs w:val="24"/>
          <w:lang w:bidi="ar-IQ"/>
        </w:rPr>
        <w:t>%)</w:t>
      </w:r>
      <w:r w:rsidR="00FC5A3A" w:rsidRPr="009967AA">
        <w:rPr>
          <w:rFonts w:asciiTheme="majorBidi" w:hAnsiTheme="majorBidi" w:cstheme="majorBidi"/>
          <w:sz w:val="24"/>
          <w:szCs w:val="24"/>
          <w:lang w:bidi="ar-IQ"/>
        </w:rPr>
        <w:t xml:space="preserve"> which are similar to the result of current study</w:t>
      </w:r>
      <w:r w:rsidR="00353DDA" w:rsidRPr="009967AA">
        <w:rPr>
          <w:rFonts w:asciiTheme="majorBidi" w:hAnsiTheme="majorBidi" w:cstheme="majorBidi"/>
          <w:sz w:val="24"/>
          <w:szCs w:val="24"/>
          <w:lang w:bidi="ar-IQ"/>
        </w:rPr>
        <w:t>[15]</w:t>
      </w:r>
      <w:r w:rsidR="00FC5A3A" w:rsidRPr="009967AA">
        <w:rPr>
          <w:rFonts w:asciiTheme="majorBidi" w:hAnsiTheme="majorBidi" w:cstheme="majorBidi"/>
          <w:sz w:val="24"/>
          <w:szCs w:val="24"/>
          <w:lang w:bidi="ar-IQ"/>
        </w:rPr>
        <w:t xml:space="preserve">. </w:t>
      </w:r>
      <w:r w:rsidR="003D0B0D" w:rsidRPr="009967AA">
        <w:rPr>
          <w:rFonts w:asciiTheme="majorBidi" w:hAnsiTheme="majorBidi" w:cstheme="majorBidi"/>
          <w:sz w:val="24"/>
          <w:szCs w:val="24"/>
          <w:lang w:bidi="ar-IQ"/>
        </w:rPr>
        <w:t>Of  28</w:t>
      </w:r>
      <w:r w:rsidR="00B72580" w:rsidRPr="009967AA">
        <w:rPr>
          <w:rFonts w:asciiTheme="majorBidi" w:hAnsiTheme="majorBidi" w:cstheme="majorBidi"/>
          <w:sz w:val="24"/>
          <w:szCs w:val="24"/>
          <w:lang w:bidi="ar-IQ"/>
        </w:rPr>
        <w:t>Nilotinib</w:t>
      </w:r>
      <w:r w:rsidR="003D0B0D" w:rsidRPr="009967AA">
        <w:rPr>
          <w:rFonts w:asciiTheme="majorBidi" w:hAnsiTheme="majorBidi" w:cstheme="majorBidi"/>
          <w:sz w:val="24"/>
          <w:szCs w:val="24"/>
          <w:lang w:bidi="ar-IQ"/>
        </w:rPr>
        <w:t xml:space="preserve">switched patients </w:t>
      </w:r>
      <w:r w:rsidR="00E2357F" w:rsidRPr="009967AA">
        <w:rPr>
          <w:rFonts w:asciiTheme="majorBidi" w:hAnsiTheme="majorBidi" w:cstheme="majorBidi"/>
          <w:sz w:val="24"/>
          <w:szCs w:val="24"/>
          <w:lang w:bidi="ar-IQ"/>
        </w:rPr>
        <w:t>(</w:t>
      </w:r>
      <w:r w:rsidR="003D0B0D" w:rsidRPr="009967AA">
        <w:rPr>
          <w:rFonts w:asciiTheme="majorBidi" w:hAnsiTheme="majorBidi" w:cstheme="majorBidi"/>
          <w:sz w:val="24"/>
          <w:szCs w:val="24"/>
          <w:lang w:bidi="ar-IQ"/>
        </w:rPr>
        <w:t>78.5%) achieved complete cytogenetic re</w:t>
      </w:r>
      <w:r w:rsidR="00B72580" w:rsidRPr="009967AA">
        <w:rPr>
          <w:rFonts w:asciiTheme="majorBidi" w:hAnsiTheme="majorBidi" w:cstheme="majorBidi"/>
          <w:sz w:val="24"/>
          <w:szCs w:val="24"/>
          <w:lang w:bidi="ar-IQ"/>
        </w:rPr>
        <w:t>sponse, more than the  rate of responses</w:t>
      </w:r>
      <w:r w:rsidR="003D0B0D" w:rsidRPr="009967AA">
        <w:rPr>
          <w:rFonts w:asciiTheme="majorBidi" w:hAnsiTheme="majorBidi" w:cstheme="majorBidi"/>
          <w:sz w:val="24"/>
          <w:szCs w:val="24"/>
          <w:lang w:bidi="ar-IQ"/>
        </w:rPr>
        <w:t xml:space="preserve"> in phase 3b, open-label, multicenter ENACT (Expanding Nilotinib Access</w:t>
      </w:r>
      <w:r w:rsidR="00A21F53" w:rsidRPr="009967AA">
        <w:rPr>
          <w:rFonts w:asciiTheme="majorBidi" w:hAnsiTheme="majorBidi" w:cstheme="majorBidi"/>
          <w:sz w:val="24"/>
          <w:szCs w:val="24"/>
          <w:lang w:bidi="ar-IQ"/>
        </w:rPr>
        <w:t xml:space="preserve"> in Clinical Tria</w:t>
      </w:r>
      <w:r w:rsidR="003D0B0D" w:rsidRPr="009967AA">
        <w:rPr>
          <w:rFonts w:asciiTheme="majorBidi" w:hAnsiTheme="majorBidi" w:cstheme="majorBidi"/>
          <w:sz w:val="24"/>
          <w:szCs w:val="24"/>
          <w:lang w:bidi="ar-IQ"/>
        </w:rPr>
        <w:t>ls)</w:t>
      </w:r>
      <w:r w:rsidR="00BB697C">
        <w:rPr>
          <w:rFonts w:asciiTheme="majorBidi" w:hAnsiTheme="majorBidi" w:cstheme="majorBidi"/>
          <w:sz w:val="24"/>
          <w:szCs w:val="24"/>
          <w:lang w:bidi="ar-IQ"/>
        </w:rPr>
        <w:t xml:space="preserve"> study which showed</w:t>
      </w:r>
      <w:r w:rsidR="00A21F53" w:rsidRPr="009967AA">
        <w:rPr>
          <w:rFonts w:asciiTheme="majorBidi" w:hAnsiTheme="majorBidi" w:cstheme="majorBidi"/>
          <w:sz w:val="24"/>
          <w:szCs w:val="24"/>
          <w:lang w:bidi="ar-IQ"/>
        </w:rPr>
        <w:t xml:space="preserve"> (50%) of patients developed complete cytogenetic response</w:t>
      </w:r>
      <w:r w:rsidR="00353DDA" w:rsidRPr="009967AA">
        <w:rPr>
          <w:rFonts w:asciiTheme="majorBidi" w:hAnsiTheme="majorBidi" w:cstheme="majorBidi"/>
          <w:sz w:val="24"/>
          <w:szCs w:val="24"/>
          <w:lang w:bidi="ar-IQ"/>
        </w:rPr>
        <w:t>[16]</w:t>
      </w:r>
      <w:r w:rsidR="00A21F53" w:rsidRPr="009967AA">
        <w:rPr>
          <w:rFonts w:asciiTheme="majorBidi" w:hAnsiTheme="majorBidi" w:cstheme="majorBidi"/>
          <w:sz w:val="24"/>
          <w:szCs w:val="24"/>
          <w:lang w:bidi="ar-IQ"/>
        </w:rPr>
        <w:t>.</w:t>
      </w:r>
    </w:p>
    <w:p w:rsidR="00B66B00" w:rsidRPr="009967AA" w:rsidRDefault="00FC5A3A" w:rsidP="00344CFF">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Major molecular response</w:t>
      </w:r>
      <w:r w:rsidR="00B72580" w:rsidRPr="009967AA">
        <w:rPr>
          <w:rFonts w:asciiTheme="majorBidi" w:hAnsiTheme="majorBidi" w:cstheme="majorBidi"/>
          <w:sz w:val="24"/>
          <w:szCs w:val="24"/>
          <w:lang w:bidi="ar-IQ"/>
        </w:rPr>
        <w:t>(MMR)</w:t>
      </w:r>
      <w:r w:rsidRPr="009967AA">
        <w:rPr>
          <w:rFonts w:asciiTheme="majorBidi" w:hAnsiTheme="majorBidi" w:cstheme="majorBidi"/>
          <w:sz w:val="24"/>
          <w:szCs w:val="24"/>
          <w:lang w:bidi="ar-IQ"/>
        </w:rPr>
        <w:t xml:space="preserve"> wa</w:t>
      </w:r>
      <w:r w:rsidR="00B72580" w:rsidRPr="009967AA">
        <w:rPr>
          <w:rFonts w:asciiTheme="majorBidi" w:hAnsiTheme="majorBidi" w:cstheme="majorBidi"/>
          <w:sz w:val="24"/>
          <w:szCs w:val="24"/>
          <w:lang w:bidi="ar-IQ"/>
        </w:rPr>
        <w:t>s achieved in (72.7%) of Imatinib</w:t>
      </w:r>
      <w:r w:rsidRPr="009967AA">
        <w:rPr>
          <w:rFonts w:asciiTheme="majorBidi" w:hAnsiTheme="majorBidi" w:cstheme="majorBidi"/>
          <w:sz w:val="24"/>
          <w:szCs w:val="24"/>
          <w:lang w:bidi="ar-IQ"/>
        </w:rPr>
        <w:t xml:space="preserve"> treated patients and (27.2%) showed molecular failure,</w:t>
      </w:r>
      <w:r w:rsidR="00B72580" w:rsidRPr="009967AA">
        <w:rPr>
          <w:rFonts w:asciiTheme="majorBidi" w:hAnsiTheme="majorBidi" w:cstheme="majorBidi"/>
          <w:sz w:val="24"/>
          <w:szCs w:val="24"/>
          <w:lang w:bidi="ar-IQ"/>
        </w:rPr>
        <w:t xml:space="preserve"> while Nilotinib</w:t>
      </w:r>
      <w:r w:rsidR="00A21F53" w:rsidRPr="009967AA">
        <w:rPr>
          <w:rFonts w:asciiTheme="majorBidi" w:hAnsiTheme="majorBidi" w:cstheme="majorBidi"/>
          <w:sz w:val="24"/>
          <w:szCs w:val="24"/>
          <w:lang w:bidi="ar-IQ"/>
        </w:rPr>
        <w:t xml:space="preserve"> switched patients</w:t>
      </w:r>
      <w:r w:rsidR="0081621B" w:rsidRPr="009967AA">
        <w:rPr>
          <w:rFonts w:asciiTheme="majorBidi" w:hAnsiTheme="majorBidi" w:cstheme="majorBidi"/>
          <w:sz w:val="24"/>
          <w:szCs w:val="24"/>
          <w:lang w:bidi="ar-IQ"/>
        </w:rPr>
        <w:t>,</w:t>
      </w:r>
      <w:r w:rsidR="00A21F53" w:rsidRPr="009967AA">
        <w:rPr>
          <w:rFonts w:asciiTheme="majorBidi" w:hAnsiTheme="majorBidi" w:cstheme="majorBidi"/>
          <w:sz w:val="24"/>
          <w:szCs w:val="24"/>
          <w:lang w:bidi="ar-IQ"/>
        </w:rPr>
        <w:t xml:space="preserve"> because of prior molecular failure </w:t>
      </w:r>
      <w:r w:rsidR="0081621B" w:rsidRPr="009967AA">
        <w:rPr>
          <w:rFonts w:asciiTheme="majorBidi" w:hAnsiTheme="majorBidi" w:cstheme="majorBidi"/>
          <w:sz w:val="24"/>
          <w:szCs w:val="24"/>
          <w:lang w:bidi="ar-IQ"/>
        </w:rPr>
        <w:t>,</w:t>
      </w:r>
      <w:r w:rsidR="00A21F53" w:rsidRPr="009967AA">
        <w:rPr>
          <w:rFonts w:asciiTheme="majorBidi" w:hAnsiTheme="majorBidi" w:cstheme="majorBidi"/>
          <w:sz w:val="24"/>
          <w:szCs w:val="24"/>
          <w:lang w:bidi="ar-IQ"/>
        </w:rPr>
        <w:t xml:space="preserve">achieved major molecular response in( 53.5%) and </w:t>
      </w:r>
      <w:r w:rsidR="0081621B" w:rsidRPr="009967AA">
        <w:rPr>
          <w:rFonts w:asciiTheme="majorBidi" w:hAnsiTheme="majorBidi" w:cstheme="majorBidi"/>
          <w:sz w:val="24"/>
          <w:szCs w:val="24"/>
          <w:lang w:bidi="ar-IQ"/>
        </w:rPr>
        <w:t xml:space="preserve"> molecular </w:t>
      </w:r>
      <w:r w:rsidR="00A21F53" w:rsidRPr="009967AA">
        <w:rPr>
          <w:rFonts w:asciiTheme="majorBidi" w:hAnsiTheme="majorBidi" w:cstheme="majorBidi"/>
          <w:sz w:val="24"/>
          <w:szCs w:val="24"/>
          <w:lang w:bidi="ar-IQ"/>
        </w:rPr>
        <w:t>failure in other (46.5%)</w:t>
      </w:r>
      <w:r w:rsidR="0081621B" w:rsidRPr="009967AA">
        <w:rPr>
          <w:rFonts w:asciiTheme="majorBidi" w:hAnsiTheme="majorBidi" w:cstheme="majorBidi"/>
          <w:sz w:val="24"/>
          <w:szCs w:val="24"/>
          <w:lang w:bidi="ar-IQ"/>
        </w:rPr>
        <w:t>,  in contrary to the  the preliminary results of the</w:t>
      </w:r>
      <w:r w:rsidR="00B66B00" w:rsidRPr="009967AA">
        <w:rPr>
          <w:rFonts w:asciiTheme="majorBidi" w:hAnsiTheme="majorBidi" w:cstheme="majorBidi"/>
          <w:sz w:val="24"/>
          <w:szCs w:val="24"/>
          <w:lang w:bidi="ar-IQ"/>
        </w:rPr>
        <w:t xml:space="preserve"> exploratory , United states- based, multicenter , open label study of nilotinib 300 mg twice daily in patients with suboptimal molecular response to imatinib, </w:t>
      </w:r>
      <w:r w:rsidR="0081621B" w:rsidRPr="009967AA">
        <w:rPr>
          <w:rFonts w:asciiTheme="majorBidi" w:hAnsiTheme="majorBidi" w:cstheme="majorBidi"/>
          <w:sz w:val="24"/>
          <w:szCs w:val="24"/>
          <w:lang w:bidi="ar-IQ"/>
        </w:rPr>
        <w:t xml:space="preserve">which </w:t>
      </w:r>
      <w:r w:rsidR="00B66B00" w:rsidRPr="009967AA">
        <w:rPr>
          <w:rFonts w:asciiTheme="majorBidi" w:hAnsiTheme="majorBidi" w:cstheme="majorBidi"/>
          <w:sz w:val="24"/>
          <w:szCs w:val="24"/>
          <w:lang w:bidi="ar-IQ"/>
        </w:rPr>
        <w:t>demonstrated that (80%) achieved major molecular response within 9 months</w:t>
      </w:r>
      <w:r w:rsidR="00353DDA" w:rsidRPr="009967AA">
        <w:rPr>
          <w:rFonts w:asciiTheme="majorBidi" w:hAnsiTheme="majorBidi" w:cstheme="majorBidi"/>
          <w:sz w:val="24"/>
          <w:szCs w:val="24"/>
          <w:lang w:bidi="ar-IQ"/>
        </w:rPr>
        <w:t>[17]</w:t>
      </w:r>
      <w:r w:rsidR="00B66B00" w:rsidRPr="009967AA">
        <w:rPr>
          <w:rFonts w:asciiTheme="majorBidi" w:hAnsiTheme="majorBidi" w:cstheme="majorBidi"/>
          <w:sz w:val="24"/>
          <w:szCs w:val="24"/>
          <w:lang w:bidi="ar-IQ"/>
        </w:rPr>
        <w:t>.</w:t>
      </w:r>
    </w:p>
    <w:p w:rsidR="00817B30" w:rsidRPr="009967AA" w:rsidRDefault="00E12C50" w:rsidP="00344CFF">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Nilo</w:t>
      </w:r>
      <w:r w:rsidR="007E64CE" w:rsidRPr="009967AA">
        <w:rPr>
          <w:rFonts w:asciiTheme="majorBidi" w:hAnsiTheme="majorBidi" w:cstheme="majorBidi"/>
          <w:sz w:val="24"/>
          <w:szCs w:val="24"/>
          <w:lang w:bidi="ar-IQ"/>
        </w:rPr>
        <w:t>tinib is 20- to 50- fold more potent than imatinib against BCR-ABL in vitro , like imatinib</w:t>
      </w:r>
      <w:r w:rsidR="00C3058E" w:rsidRPr="009967AA">
        <w:rPr>
          <w:rFonts w:asciiTheme="majorBidi" w:hAnsiTheme="majorBidi" w:cstheme="majorBidi"/>
          <w:sz w:val="24"/>
          <w:szCs w:val="24"/>
          <w:lang w:bidi="ar-IQ"/>
        </w:rPr>
        <w:t>, it</w:t>
      </w:r>
      <w:r w:rsidR="007E64CE" w:rsidRPr="009967AA">
        <w:rPr>
          <w:rFonts w:asciiTheme="majorBidi" w:hAnsiTheme="majorBidi" w:cstheme="majorBidi"/>
          <w:sz w:val="24"/>
          <w:szCs w:val="24"/>
          <w:lang w:bidi="ar-IQ"/>
        </w:rPr>
        <w:t xml:space="preserve"> binds only to the inactive </w:t>
      </w:r>
      <w:r w:rsidR="007E64CE" w:rsidRPr="009967AA">
        <w:rPr>
          <w:rFonts w:asciiTheme="majorBidi" w:hAnsiTheme="majorBidi" w:cstheme="majorBidi"/>
          <w:sz w:val="24"/>
          <w:szCs w:val="24"/>
          <w:lang w:bidi="ar-IQ"/>
        </w:rPr>
        <w:lastRenderedPageBreak/>
        <w:t xml:space="preserve">conformation of the enzyme, preventing it from adopting the catalytically active </w:t>
      </w:r>
      <w:r w:rsidR="00C3058E" w:rsidRPr="009967AA">
        <w:rPr>
          <w:rFonts w:asciiTheme="majorBidi" w:hAnsiTheme="majorBidi" w:cstheme="majorBidi"/>
          <w:sz w:val="24"/>
          <w:szCs w:val="24"/>
          <w:lang w:bidi="ar-IQ"/>
        </w:rPr>
        <w:t xml:space="preserve">site </w:t>
      </w:r>
      <w:r w:rsidR="00BB697C">
        <w:rPr>
          <w:rFonts w:asciiTheme="majorBidi" w:hAnsiTheme="majorBidi" w:cstheme="majorBidi"/>
          <w:sz w:val="24"/>
          <w:szCs w:val="24"/>
          <w:lang w:bidi="ar-IQ"/>
        </w:rPr>
        <w:t>[18,</w:t>
      </w:r>
      <w:r w:rsidR="00353DDA" w:rsidRPr="009967AA">
        <w:rPr>
          <w:rFonts w:asciiTheme="majorBidi" w:hAnsiTheme="majorBidi" w:cstheme="majorBidi"/>
          <w:sz w:val="24"/>
          <w:szCs w:val="24"/>
          <w:lang w:bidi="ar-IQ"/>
        </w:rPr>
        <w:t>19]</w:t>
      </w:r>
      <w:r w:rsidR="007E64CE" w:rsidRPr="009967AA">
        <w:rPr>
          <w:rFonts w:asciiTheme="majorBidi" w:hAnsiTheme="majorBidi" w:cstheme="majorBidi"/>
          <w:sz w:val="24"/>
          <w:szCs w:val="24"/>
          <w:lang w:bidi="ar-IQ"/>
        </w:rPr>
        <w:t>. Across several phase 2 studies</w:t>
      </w:r>
      <w:r w:rsidR="001B1E14" w:rsidRPr="009967AA">
        <w:rPr>
          <w:rFonts w:asciiTheme="majorBidi" w:hAnsiTheme="majorBidi" w:cstheme="majorBidi"/>
          <w:sz w:val="24"/>
          <w:szCs w:val="24"/>
          <w:lang w:bidi="ar-IQ"/>
        </w:rPr>
        <w:t>[20-23]</w:t>
      </w:r>
      <w:r w:rsidR="007E64CE" w:rsidRPr="009967AA">
        <w:rPr>
          <w:rFonts w:asciiTheme="majorBidi" w:hAnsiTheme="majorBidi" w:cstheme="majorBidi"/>
          <w:sz w:val="24"/>
          <w:szCs w:val="24"/>
          <w:lang w:bidi="ar-IQ"/>
        </w:rPr>
        <w:t>Nilotinib has shown efficacy in patients with CML after imatinib resistance or intolerance</w:t>
      </w:r>
      <w:r w:rsidR="00BB697C">
        <w:rPr>
          <w:rFonts w:asciiTheme="majorBidi" w:hAnsiTheme="majorBidi" w:cstheme="majorBidi"/>
          <w:sz w:val="24"/>
          <w:szCs w:val="24"/>
          <w:lang w:bidi="ar-IQ"/>
        </w:rPr>
        <w:t>[24,</w:t>
      </w:r>
      <w:r w:rsidR="001B1E14" w:rsidRPr="009967AA">
        <w:rPr>
          <w:rFonts w:asciiTheme="majorBidi" w:hAnsiTheme="majorBidi" w:cstheme="majorBidi"/>
          <w:sz w:val="24"/>
          <w:szCs w:val="24"/>
          <w:lang w:bidi="ar-IQ"/>
        </w:rPr>
        <w:t>25]</w:t>
      </w:r>
      <w:r w:rsidR="007E64CE" w:rsidRPr="009967AA">
        <w:rPr>
          <w:rFonts w:asciiTheme="majorBidi" w:hAnsiTheme="majorBidi" w:cstheme="majorBidi"/>
          <w:sz w:val="24"/>
          <w:szCs w:val="24"/>
          <w:lang w:bidi="ar-IQ"/>
        </w:rPr>
        <w:t>and  has subsequently been approved for treating patients with CP-CML or accelerated phase CML who have imatinib resistance or intolerance</w:t>
      </w:r>
      <w:r w:rsidR="001B1E14" w:rsidRPr="009967AA">
        <w:rPr>
          <w:rFonts w:asciiTheme="majorBidi" w:hAnsiTheme="majorBidi" w:cstheme="majorBidi"/>
          <w:sz w:val="24"/>
          <w:szCs w:val="24"/>
          <w:lang w:bidi="ar-IQ"/>
        </w:rPr>
        <w:t xml:space="preserve"> [26]</w:t>
      </w:r>
      <w:r w:rsidR="007E64CE" w:rsidRPr="009967AA">
        <w:rPr>
          <w:rFonts w:asciiTheme="majorBidi" w:hAnsiTheme="majorBidi" w:cstheme="majorBidi"/>
          <w:sz w:val="24"/>
          <w:szCs w:val="24"/>
          <w:lang w:bidi="ar-IQ"/>
        </w:rPr>
        <w:t>.</w:t>
      </w:r>
    </w:p>
    <w:p w:rsidR="00EA2724" w:rsidRPr="009967AA" w:rsidRDefault="00817B30" w:rsidP="00344CFF">
      <w:pPr>
        <w:bidi w:val="0"/>
        <w:spacing w:after="0" w:line="240" w:lineRule="auto"/>
        <w:jc w:val="both"/>
        <w:rPr>
          <w:rFonts w:asciiTheme="majorBidi" w:hAnsiTheme="majorBidi" w:cstheme="majorBidi"/>
          <w:sz w:val="24"/>
          <w:szCs w:val="24"/>
          <w:lang w:bidi="ar-IQ"/>
        </w:rPr>
      </w:pPr>
      <w:r w:rsidRPr="009967AA">
        <w:rPr>
          <w:rFonts w:asciiTheme="majorBidi" w:hAnsiTheme="majorBidi" w:cstheme="majorBidi"/>
          <w:sz w:val="24"/>
          <w:szCs w:val="24"/>
          <w:lang w:bidi="ar-IQ"/>
        </w:rPr>
        <w:t>In this study imatinib was well tolerated, and</w:t>
      </w:r>
      <w:r w:rsidR="00C3058E" w:rsidRPr="009967AA">
        <w:rPr>
          <w:rFonts w:asciiTheme="majorBidi" w:hAnsiTheme="majorBidi" w:cstheme="majorBidi"/>
          <w:sz w:val="24"/>
          <w:szCs w:val="24"/>
          <w:lang w:bidi="ar-IQ"/>
        </w:rPr>
        <w:t xml:space="preserve">  the most common adverse effects</w:t>
      </w:r>
      <w:r w:rsidRPr="009967AA">
        <w:rPr>
          <w:rFonts w:asciiTheme="majorBidi" w:hAnsiTheme="majorBidi" w:cstheme="majorBidi"/>
          <w:sz w:val="24"/>
          <w:szCs w:val="24"/>
          <w:lang w:bidi="ar-IQ"/>
        </w:rPr>
        <w:t xml:space="preserve"> were edema (30.3%), bone and joint</w:t>
      </w:r>
      <w:r w:rsidR="00EA2724" w:rsidRPr="009967AA">
        <w:rPr>
          <w:rFonts w:asciiTheme="majorBidi" w:hAnsiTheme="majorBidi" w:cstheme="majorBidi"/>
          <w:sz w:val="24"/>
          <w:szCs w:val="24"/>
          <w:lang w:bidi="ar-IQ"/>
        </w:rPr>
        <w:t xml:space="preserve"> pain (22.7%), lassitude (18%) </w:t>
      </w:r>
      <w:r w:rsidRPr="009967AA">
        <w:rPr>
          <w:rFonts w:asciiTheme="majorBidi" w:hAnsiTheme="majorBidi" w:cstheme="majorBidi"/>
          <w:sz w:val="24"/>
          <w:szCs w:val="24"/>
          <w:lang w:bidi="ar-IQ"/>
        </w:rPr>
        <w:t>and</w:t>
      </w:r>
      <w:r w:rsidR="00EA2724" w:rsidRPr="009967AA">
        <w:rPr>
          <w:rFonts w:asciiTheme="majorBidi" w:hAnsiTheme="majorBidi" w:cstheme="majorBidi"/>
          <w:sz w:val="24"/>
          <w:szCs w:val="24"/>
          <w:lang w:bidi="ar-IQ"/>
        </w:rPr>
        <w:t xml:space="preserve"> (4.5%) of patients developed s</w:t>
      </w:r>
      <w:r w:rsidR="00C3058E" w:rsidRPr="009967AA">
        <w:rPr>
          <w:rFonts w:asciiTheme="majorBidi" w:hAnsiTheme="majorBidi" w:cstheme="majorBidi"/>
          <w:sz w:val="24"/>
          <w:szCs w:val="24"/>
          <w:lang w:bidi="ar-IQ"/>
        </w:rPr>
        <w:t>ever hematological  side effects</w:t>
      </w:r>
      <w:r w:rsidR="00EA2724" w:rsidRPr="009967AA">
        <w:rPr>
          <w:rFonts w:asciiTheme="majorBidi" w:hAnsiTheme="majorBidi" w:cstheme="majorBidi"/>
          <w:sz w:val="24"/>
          <w:szCs w:val="24"/>
          <w:lang w:bidi="ar-IQ"/>
        </w:rPr>
        <w:t xml:space="preserve"> such as pancytopen</w:t>
      </w:r>
      <w:r w:rsidR="00C3058E" w:rsidRPr="009967AA">
        <w:rPr>
          <w:rFonts w:asciiTheme="majorBidi" w:hAnsiTheme="majorBidi" w:cstheme="majorBidi"/>
          <w:sz w:val="24"/>
          <w:szCs w:val="24"/>
          <w:lang w:bidi="ar-IQ"/>
        </w:rPr>
        <w:t>ia and sever thrombocytopenia .T</w:t>
      </w:r>
      <w:r w:rsidRPr="009967AA">
        <w:rPr>
          <w:rFonts w:asciiTheme="majorBidi" w:hAnsiTheme="majorBidi" w:cstheme="majorBidi"/>
          <w:sz w:val="24"/>
          <w:szCs w:val="24"/>
          <w:lang w:bidi="ar-IQ"/>
        </w:rPr>
        <w:t>hese are comparable  to that of Kantarjian et alwho showed</w:t>
      </w:r>
      <w:r w:rsidR="004E219D" w:rsidRPr="009967AA">
        <w:rPr>
          <w:rFonts w:asciiTheme="majorBidi" w:hAnsiTheme="majorBidi" w:cstheme="majorBidi"/>
          <w:sz w:val="24"/>
          <w:szCs w:val="24"/>
          <w:lang w:bidi="ar-IQ"/>
        </w:rPr>
        <w:t xml:space="preserve"> that only 2% of patients discontinue</w:t>
      </w:r>
      <w:r w:rsidR="00EA2724" w:rsidRPr="009967AA">
        <w:rPr>
          <w:rFonts w:asciiTheme="majorBidi" w:hAnsiTheme="majorBidi" w:cstheme="majorBidi"/>
          <w:sz w:val="24"/>
          <w:szCs w:val="24"/>
          <w:lang w:bidi="ar-IQ"/>
        </w:rPr>
        <w:t xml:space="preserve"> the treatment becaus</w:t>
      </w:r>
      <w:r w:rsidR="004E219D" w:rsidRPr="009967AA">
        <w:rPr>
          <w:rFonts w:asciiTheme="majorBidi" w:hAnsiTheme="majorBidi" w:cstheme="majorBidi"/>
          <w:sz w:val="24"/>
          <w:szCs w:val="24"/>
          <w:lang w:bidi="ar-IQ"/>
        </w:rPr>
        <w:t>e of drug-related adverse effects</w:t>
      </w:r>
      <w:r w:rsidR="001B1E14" w:rsidRPr="009967AA">
        <w:rPr>
          <w:rFonts w:asciiTheme="majorBidi" w:hAnsiTheme="majorBidi" w:cstheme="majorBidi"/>
          <w:sz w:val="24"/>
          <w:szCs w:val="24"/>
          <w:lang w:bidi="ar-IQ"/>
        </w:rPr>
        <w:t>[27]</w:t>
      </w:r>
      <w:r w:rsidR="00EA2724" w:rsidRPr="009967AA">
        <w:rPr>
          <w:rFonts w:asciiTheme="majorBidi" w:hAnsiTheme="majorBidi" w:cstheme="majorBidi"/>
          <w:sz w:val="24"/>
          <w:szCs w:val="24"/>
          <w:lang w:bidi="ar-IQ"/>
        </w:rPr>
        <w:t>.</w:t>
      </w:r>
    </w:p>
    <w:p w:rsidR="00995587" w:rsidRPr="009967AA" w:rsidRDefault="008739F5" w:rsidP="00344CFF">
      <w:pPr>
        <w:bidi w:val="0"/>
        <w:spacing w:after="0" w:line="240" w:lineRule="auto"/>
        <w:jc w:val="both"/>
        <w:rPr>
          <w:rFonts w:asciiTheme="majorBidi" w:hAnsiTheme="majorBidi" w:cstheme="majorBidi"/>
          <w:sz w:val="24"/>
          <w:szCs w:val="24"/>
          <w:vertAlign w:val="superscript"/>
          <w:lang w:bidi="ar-IQ"/>
        </w:rPr>
      </w:pPr>
      <w:r w:rsidRPr="009967AA">
        <w:rPr>
          <w:rFonts w:asciiTheme="majorBidi" w:hAnsiTheme="majorBidi" w:cstheme="majorBidi"/>
          <w:sz w:val="24"/>
          <w:szCs w:val="24"/>
          <w:lang w:bidi="ar-IQ"/>
        </w:rPr>
        <w:t>Nilotinib</w:t>
      </w:r>
      <w:r w:rsidR="00EA2724" w:rsidRPr="009967AA">
        <w:rPr>
          <w:rFonts w:asciiTheme="majorBidi" w:hAnsiTheme="majorBidi" w:cstheme="majorBidi"/>
          <w:sz w:val="24"/>
          <w:szCs w:val="24"/>
          <w:lang w:bidi="ar-IQ"/>
        </w:rPr>
        <w:t xml:space="preserve"> is also well tolerated in this study and the majority of patient</w:t>
      </w:r>
      <w:r w:rsidRPr="009967AA">
        <w:rPr>
          <w:rFonts w:asciiTheme="majorBidi" w:hAnsiTheme="majorBidi" w:cstheme="majorBidi"/>
          <w:sz w:val="24"/>
          <w:szCs w:val="24"/>
          <w:lang w:bidi="ar-IQ"/>
        </w:rPr>
        <w:t>s shows only minor adverse effects</w:t>
      </w:r>
      <w:r w:rsidR="00EA2724" w:rsidRPr="009967AA">
        <w:rPr>
          <w:rFonts w:asciiTheme="majorBidi" w:hAnsiTheme="majorBidi" w:cstheme="majorBidi"/>
          <w:sz w:val="24"/>
          <w:szCs w:val="24"/>
          <w:lang w:bidi="ar-IQ"/>
        </w:rPr>
        <w:t xml:space="preserve"> as headache (35.7%), joint pain (25%), nausea (17.8%), itching  and fever(1</w:t>
      </w:r>
      <w:r w:rsidR="00BB697C">
        <w:rPr>
          <w:rFonts w:asciiTheme="majorBidi" w:hAnsiTheme="majorBidi" w:cstheme="majorBidi"/>
          <w:sz w:val="24"/>
          <w:szCs w:val="24"/>
          <w:lang w:bidi="ar-IQ"/>
        </w:rPr>
        <w:t>0.7%),</w:t>
      </w:r>
      <w:r w:rsidR="006A44DA" w:rsidRPr="009967AA">
        <w:rPr>
          <w:rFonts w:asciiTheme="majorBidi" w:hAnsiTheme="majorBidi" w:cstheme="majorBidi"/>
          <w:sz w:val="24"/>
          <w:szCs w:val="24"/>
          <w:lang w:bidi="ar-IQ"/>
        </w:rPr>
        <w:t xml:space="preserve"> jaundice, skin rash, menorrhagia (7%), and no major adverse effect till the end of this study, and these results were comparable to the Katarjian et al study</w:t>
      </w:r>
      <w:r w:rsidR="001B1E14" w:rsidRPr="009967AA">
        <w:rPr>
          <w:rFonts w:asciiTheme="majorBidi" w:hAnsiTheme="majorBidi" w:cstheme="majorBidi"/>
          <w:sz w:val="24"/>
          <w:szCs w:val="24"/>
          <w:lang w:bidi="ar-IQ"/>
        </w:rPr>
        <w:t xml:space="preserve"> [28]</w:t>
      </w:r>
      <w:r w:rsidR="006A44DA" w:rsidRPr="009967AA">
        <w:rPr>
          <w:rFonts w:asciiTheme="majorBidi" w:hAnsiTheme="majorBidi" w:cstheme="majorBidi"/>
          <w:sz w:val="24"/>
          <w:szCs w:val="24"/>
          <w:lang w:bidi="ar-IQ"/>
        </w:rPr>
        <w:t>.</w:t>
      </w:r>
    </w:p>
    <w:p w:rsidR="008D2FD2" w:rsidRPr="009967AA" w:rsidRDefault="008D2FD2" w:rsidP="00344CFF">
      <w:pPr>
        <w:bidi w:val="0"/>
        <w:spacing w:after="0" w:line="240" w:lineRule="auto"/>
        <w:jc w:val="both"/>
        <w:rPr>
          <w:rFonts w:asciiTheme="majorBidi" w:hAnsiTheme="majorBidi" w:cstheme="majorBidi"/>
          <w:sz w:val="24"/>
          <w:szCs w:val="24"/>
          <w:vertAlign w:val="superscript"/>
          <w:lang w:bidi="ar-IQ"/>
        </w:rPr>
      </w:pPr>
      <w:r w:rsidRPr="009967AA">
        <w:rPr>
          <w:rFonts w:asciiTheme="majorBidi" w:hAnsiTheme="majorBidi" w:cstheme="majorBidi"/>
          <w:sz w:val="24"/>
          <w:szCs w:val="24"/>
          <w:lang w:bidi="ar-IQ"/>
        </w:rPr>
        <w:t>Liver function tests and amylase enzyme, liver function tests showed minor elevation in (4.5</w:t>
      </w:r>
      <w:r w:rsidR="008739F5" w:rsidRPr="009967AA">
        <w:rPr>
          <w:rFonts w:asciiTheme="majorBidi" w:hAnsiTheme="majorBidi" w:cstheme="majorBidi"/>
          <w:sz w:val="24"/>
          <w:szCs w:val="24"/>
          <w:lang w:bidi="ar-IQ"/>
        </w:rPr>
        <w:t>%) of Imatinib</w:t>
      </w:r>
      <w:r w:rsidRPr="009967AA">
        <w:rPr>
          <w:rFonts w:asciiTheme="majorBidi" w:hAnsiTheme="majorBidi" w:cstheme="majorBidi"/>
          <w:sz w:val="24"/>
          <w:szCs w:val="24"/>
          <w:lang w:bidi="ar-IQ"/>
        </w:rPr>
        <w:t xml:space="preserve"> treated </w:t>
      </w:r>
      <w:r w:rsidR="008739F5" w:rsidRPr="009967AA">
        <w:rPr>
          <w:rFonts w:asciiTheme="majorBidi" w:hAnsiTheme="majorBidi" w:cstheme="majorBidi"/>
          <w:sz w:val="24"/>
          <w:szCs w:val="24"/>
          <w:lang w:bidi="ar-IQ"/>
        </w:rPr>
        <w:t>patients and (21.4%) of Nilotinib</w:t>
      </w:r>
      <w:r w:rsidRPr="009967AA">
        <w:rPr>
          <w:rFonts w:asciiTheme="majorBidi" w:hAnsiTheme="majorBidi" w:cstheme="majorBidi"/>
          <w:sz w:val="24"/>
          <w:szCs w:val="24"/>
          <w:lang w:bidi="ar-IQ"/>
        </w:rPr>
        <w:t xml:space="preserve">switched patients, </w:t>
      </w:r>
      <w:r w:rsidR="00E16983" w:rsidRPr="009967AA">
        <w:rPr>
          <w:rFonts w:asciiTheme="majorBidi" w:hAnsiTheme="majorBidi" w:cstheme="majorBidi"/>
          <w:sz w:val="24"/>
          <w:szCs w:val="24"/>
          <w:lang w:bidi="ar-IQ"/>
        </w:rPr>
        <w:t>amylase also showed a minor elevati</w:t>
      </w:r>
      <w:r w:rsidR="008739F5" w:rsidRPr="009967AA">
        <w:rPr>
          <w:rFonts w:asciiTheme="majorBidi" w:hAnsiTheme="majorBidi" w:cstheme="majorBidi"/>
          <w:sz w:val="24"/>
          <w:szCs w:val="24"/>
          <w:lang w:bidi="ar-IQ"/>
        </w:rPr>
        <w:t>on in (4.5%) patients on Imatinib</w:t>
      </w:r>
      <w:r w:rsidR="00E16983" w:rsidRPr="009967AA">
        <w:rPr>
          <w:rFonts w:asciiTheme="majorBidi" w:hAnsiTheme="majorBidi" w:cstheme="majorBidi"/>
          <w:sz w:val="24"/>
          <w:szCs w:val="24"/>
          <w:lang w:bidi="ar-IQ"/>
        </w:rPr>
        <w:t xml:space="preserve"> and twice leve</w:t>
      </w:r>
      <w:r w:rsidR="008739F5" w:rsidRPr="009967AA">
        <w:rPr>
          <w:rFonts w:asciiTheme="majorBidi" w:hAnsiTheme="majorBidi" w:cstheme="majorBidi"/>
          <w:sz w:val="24"/>
          <w:szCs w:val="24"/>
          <w:lang w:bidi="ar-IQ"/>
        </w:rPr>
        <w:t>l of normal in (7.1%) in Nilotinib</w:t>
      </w:r>
      <w:r w:rsidR="00E16983" w:rsidRPr="009967AA">
        <w:rPr>
          <w:rFonts w:asciiTheme="majorBidi" w:hAnsiTheme="majorBidi" w:cstheme="majorBidi"/>
          <w:sz w:val="24"/>
          <w:szCs w:val="24"/>
          <w:lang w:bidi="ar-IQ"/>
        </w:rPr>
        <w:t xml:space="preserve"> switched patients, and this result is agreed </w:t>
      </w:r>
      <w:r w:rsidR="001B044D" w:rsidRPr="009967AA">
        <w:rPr>
          <w:rFonts w:asciiTheme="majorBidi" w:hAnsiTheme="majorBidi" w:cstheme="majorBidi"/>
          <w:sz w:val="24"/>
          <w:szCs w:val="24"/>
          <w:lang w:bidi="ar-IQ"/>
        </w:rPr>
        <w:t xml:space="preserve">with </w:t>
      </w:r>
      <w:r w:rsidR="008739F5" w:rsidRPr="009967AA">
        <w:rPr>
          <w:rFonts w:asciiTheme="majorBidi" w:hAnsiTheme="majorBidi" w:cstheme="majorBidi"/>
          <w:sz w:val="24"/>
          <w:szCs w:val="24"/>
          <w:lang w:bidi="ar-IQ"/>
        </w:rPr>
        <w:t xml:space="preserve">the study of </w:t>
      </w:r>
      <w:r w:rsidR="001B044D" w:rsidRPr="009967AA">
        <w:rPr>
          <w:rFonts w:asciiTheme="majorBidi" w:hAnsiTheme="majorBidi" w:cstheme="majorBidi"/>
          <w:sz w:val="24"/>
          <w:szCs w:val="24"/>
          <w:lang w:bidi="ar-IQ"/>
        </w:rPr>
        <w:t>Timothy P. Hughes et al study which show</w:t>
      </w:r>
      <w:r w:rsidR="00BB697C">
        <w:rPr>
          <w:rFonts w:asciiTheme="majorBidi" w:hAnsiTheme="majorBidi" w:cstheme="majorBidi"/>
          <w:sz w:val="24"/>
          <w:szCs w:val="24"/>
          <w:lang w:bidi="ar-IQ"/>
        </w:rPr>
        <w:t>ed</w:t>
      </w:r>
      <w:r w:rsidR="001B044D" w:rsidRPr="009967AA">
        <w:rPr>
          <w:rFonts w:asciiTheme="majorBidi" w:hAnsiTheme="majorBidi" w:cstheme="majorBidi"/>
          <w:sz w:val="24"/>
          <w:szCs w:val="24"/>
          <w:lang w:bidi="ar-IQ"/>
        </w:rPr>
        <w:t xml:space="preserve"> elevated liver functions tests and amylase  in 5% </w:t>
      </w:r>
      <w:r w:rsidR="001B523B" w:rsidRPr="009967AA">
        <w:rPr>
          <w:rFonts w:asciiTheme="majorBidi" w:hAnsiTheme="majorBidi" w:cstheme="majorBidi"/>
          <w:sz w:val="24"/>
          <w:szCs w:val="24"/>
          <w:lang w:bidi="ar-IQ"/>
        </w:rPr>
        <w:t xml:space="preserve"> and 9.9 % </w:t>
      </w:r>
      <w:r w:rsidR="001B044D" w:rsidRPr="009967AA">
        <w:rPr>
          <w:rFonts w:asciiTheme="majorBidi" w:hAnsiTheme="majorBidi" w:cstheme="majorBidi"/>
          <w:sz w:val="24"/>
          <w:szCs w:val="24"/>
          <w:lang w:bidi="ar-IQ"/>
        </w:rPr>
        <w:t xml:space="preserve">of </w:t>
      </w:r>
      <w:r w:rsidR="008739F5" w:rsidRPr="009967AA">
        <w:rPr>
          <w:rFonts w:asciiTheme="majorBidi" w:hAnsiTheme="majorBidi" w:cstheme="majorBidi"/>
          <w:sz w:val="24"/>
          <w:szCs w:val="24"/>
          <w:lang w:bidi="ar-IQ"/>
        </w:rPr>
        <w:t>Nilotinib</w:t>
      </w:r>
      <w:r w:rsidR="001B523B" w:rsidRPr="009967AA">
        <w:rPr>
          <w:rFonts w:asciiTheme="majorBidi" w:hAnsiTheme="majorBidi" w:cstheme="majorBidi"/>
          <w:sz w:val="24"/>
          <w:szCs w:val="24"/>
          <w:lang w:bidi="ar-IQ"/>
        </w:rPr>
        <w:t xml:space="preserve">switched </w:t>
      </w:r>
      <w:r w:rsidR="001B044D" w:rsidRPr="009967AA">
        <w:rPr>
          <w:rFonts w:asciiTheme="majorBidi" w:hAnsiTheme="majorBidi" w:cstheme="majorBidi"/>
          <w:sz w:val="24"/>
          <w:szCs w:val="24"/>
          <w:lang w:bidi="ar-IQ"/>
        </w:rPr>
        <w:t>patients</w:t>
      </w:r>
      <w:r w:rsidR="001B523B" w:rsidRPr="009967AA">
        <w:rPr>
          <w:rFonts w:asciiTheme="majorBidi" w:hAnsiTheme="majorBidi" w:cstheme="majorBidi"/>
          <w:sz w:val="24"/>
          <w:szCs w:val="24"/>
          <w:lang w:bidi="ar-IQ"/>
        </w:rPr>
        <w:t xml:space="preserve"> respectively, and normal liver function tests with (1</w:t>
      </w:r>
      <w:r w:rsidR="008739F5" w:rsidRPr="009967AA">
        <w:rPr>
          <w:rFonts w:asciiTheme="majorBidi" w:hAnsiTheme="majorBidi" w:cstheme="majorBidi"/>
          <w:sz w:val="24"/>
          <w:szCs w:val="24"/>
          <w:lang w:bidi="ar-IQ"/>
        </w:rPr>
        <w:t>%) of elevatd amylase in Imatinib</w:t>
      </w:r>
      <w:r w:rsidR="001B523B" w:rsidRPr="009967AA">
        <w:rPr>
          <w:rFonts w:asciiTheme="majorBidi" w:hAnsiTheme="majorBidi" w:cstheme="majorBidi"/>
          <w:sz w:val="24"/>
          <w:szCs w:val="24"/>
          <w:lang w:bidi="ar-IQ"/>
        </w:rPr>
        <w:t xml:space="preserve"> treated patients</w:t>
      </w:r>
      <w:r w:rsidR="001B1E14" w:rsidRPr="009967AA">
        <w:rPr>
          <w:rFonts w:asciiTheme="majorBidi" w:hAnsiTheme="majorBidi" w:cstheme="majorBidi"/>
          <w:sz w:val="24"/>
          <w:szCs w:val="24"/>
          <w:lang w:bidi="ar-IQ"/>
        </w:rPr>
        <w:t xml:space="preserve"> [29]</w:t>
      </w:r>
      <w:r w:rsidR="001B523B" w:rsidRPr="009967AA">
        <w:rPr>
          <w:rFonts w:asciiTheme="majorBidi" w:hAnsiTheme="majorBidi" w:cstheme="majorBidi"/>
          <w:sz w:val="24"/>
          <w:szCs w:val="24"/>
          <w:lang w:bidi="ar-IQ"/>
        </w:rPr>
        <w:t>.</w:t>
      </w:r>
    </w:p>
    <w:p w:rsidR="001B523B" w:rsidRDefault="004264F5" w:rsidP="00344CFF">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The</w:t>
      </w:r>
      <w:r w:rsidR="001B523B" w:rsidRPr="009967AA">
        <w:rPr>
          <w:rFonts w:asciiTheme="majorBidi" w:hAnsiTheme="majorBidi" w:cstheme="majorBidi"/>
          <w:sz w:val="24"/>
          <w:szCs w:val="24"/>
          <w:lang w:bidi="ar-IQ"/>
        </w:rPr>
        <w:t xml:space="preserve"> mildly elevated percentage of abnormal liver function tes</w:t>
      </w:r>
      <w:r w:rsidR="008739F5" w:rsidRPr="009967AA">
        <w:rPr>
          <w:rFonts w:asciiTheme="majorBidi" w:hAnsiTheme="majorBidi" w:cstheme="majorBidi"/>
          <w:sz w:val="24"/>
          <w:szCs w:val="24"/>
          <w:lang w:bidi="ar-IQ"/>
        </w:rPr>
        <w:t>ts and amylase enzyme in Nilotinib</w:t>
      </w:r>
      <w:r w:rsidR="001B523B" w:rsidRPr="009967AA">
        <w:rPr>
          <w:rFonts w:asciiTheme="majorBidi" w:hAnsiTheme="majorBidi" w:cstheme="majorBidi"/>
          <w:sz w:val="24"/>
          <w:szCs w:val="24"/>
          <w:lang w:bidi="ar-IQ"/>
        </w:rPr>
        <w:t xml:space="preserve"> switched patients is not surprising as it was associated with introduction of a new drug after failure or intolerance  of the first one</w:t>
      </w:r>
      <w:r w:rsidR="001B1E14" w:rsidRPr="009967AA">
        <w:rPr>
          <w:rFonts w:asciiTheme="majorBidi" w:hAnsiTheme="majorBidi" w:cstheme="majorBidi"/>
          <w:sz w:val="24"/>
          <w:szCs w:val="24"/>
          <w:lang w:bidi="ar-IQ"/>
        </w:rPr>
        <w:t xml:space="preserve"> [30]</w:t>
      </w:r>
      <w:r w:rsidR="001B523B" w:rsidRPr="009967AA">
        <w:rPr>
          <w:rFonts w:asciiTheme="majorBidi" w:hAnsiTheme="majorBidi" w:cstheme="majorBidi"/>
          <w:sz w:val="24"/>
          <w:szCs w:val="24"/>
          <w:lang w:bidi="ar-IQ"/>
        </w:rPr>
        <w:t>.</w:t>
      </w:r>
    </w:p>
    <w:p w:rsidR="00FC34A3" w:rsidRDefault="00FC34A3" w:rsidP="00344CFF">
      <w:pPr>
        <w:bidi w:val="0"/>
        <w:spacing w:after="0" w:line="240" w:lineRule="auto"/>
        <w:jc w:val="both"/>
        <w:rPr>
          <w:rFonts w:asciiTheme="majorBidi" w:hAnsiTheme="majorBidi" w:cstheme="majorBidi"/>
          <w:sz w:val="12"/>
          <w:szCs w:val="12"/>
          <w:lang w:bidi="ar-IQ"/>
        </w:rPr>
      </w:pPr>
    </w:p>
    <w:p w:rsidR="0076367F" w:rsidRDefault="0076367F" w:rsidP="0076367F">
      <w:pPr>
        <w:bidi w:val="0"/>
        <w:spacing w:after="0" w:line="240" w:lineRule="auto"/>
        <w:jc w:val="both"/>
        <w:rPr>
          <w:rFonts w:asciiTheme="majorBidi" w:hAnsiTheme="majorBidi" w:cstheme="majorBidi"/>
          <w:sz w:val="12"/>
          <w:szCs w:val="12"/>
          <w:lang w:bidi="ar-IQ"/>
        </w:rPr>
      </w:pPr>
    </w:p>
    <w:p w:rsidR="0076367F" w:rsidRDefault="0076367F" w:rsidP="0076367F">
      <w:pPr>
        <w:bidi w:val="0"/>
        <w:spacing w:after="0" w:line="240" w:lineRule="auto"/>
        <w:jc w:val="both"/>
        <w:rPr>
          <w:rFonts w:asciiTheme="majorBidi" w:hAnsiTheme="majorBidi" w:cstheme="majorBidi"/>
          <w:sz w:val="12"/>
          <w:szCs w:val="12"/>
          <w:lang w:bidi="ar-IQ"/>
        </w:rPr>
      </w:pPr>
    </w:p>
    <w:p w:rsidR="0076367F" w:rsidRPr="00BB697C" w:rsidRDefault="0076367F" w:rsidP="0076367F">
      <w:pPr>
        <w:bidi w:val="0"/>
        <w:spacing w:after="0" w:line="240" w:lineRule="auto"/>
        <w:jc w:val="both"/>
        <w:rPr>
          <w:rFonts w:asciiTheme="majorBidi" w:hAnsiTheme="majorBidi" w:cstheme="majorBidi"/>
          <w:sz w:val="6"/>
          <w:szCs w:val="6"/>
          <w:vertAlign w:val="superscript"/>
          <w:lang w:bidi="ar-IQ"/>
        </w:rPr>
      </w:pPr>
    </w:p>
    <w:p w:rsidR="00FC34A3" w:rsidRPr="00344CFF" w:rsidRDefault="00344CFF" w:rsidP="00344CFF">
      <w:pPr>
        <w:tabs>
          <w:tab w:val="left" w:pos="956"/>
          <w:tab w:val="right" w:pos="8306"/>
        </w:tabs>
        <w:bidi w:val="0"/>
        <w:spacing w:after="0" w:line="240" w:lineRule="auto"/>
        <w:jc w:val="both"/>
        <w:rPr>
          <w:rFonts w:asciiTheme="majorBidi" w:hAnsiTheme="majorBidi" w:cstheme="majorBidi"/>
          <w:b/>
          <w:bCs/>
          <w:sz w:val="24"/>
          <w:szCs w:val="24"/>
          <w:u w:val="single"/>
          <w:rtl/>
          <w:lang w:bidi="ar-IQ"/>
        </w:rPr>
      </w:pPr>
      <w:r w:rsidRPr="00344CFF">
        <w:rPr>
          <w:rFonts w:asciiTheme="majorBidi" w:hAnsiTheme="majorBidi" w:cstheme="majorBidi"/>
          <w:b/>
          <w:bCs/>
          <w:sz w:val="24"/>
          <w:szCs w:val="24"/>
          <w:u w:val="single"/>
          <w:lang w:bidi="ar-IQ"/>
        </w:rPr>
        <w:lastRenderedPageBreak/>
        <w:t>Conclusion</w:t>
      </w:r>
    </w:p>
    <w:p w:rsidR="00E92503" w:rsidRPr="009967AA" w:rsidRDefault="0076367F" w:rsidP="004264F5">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003732" w:rsidRPr="009967AA">
        <w:rPr>
          <w:rFonts w:asciiTheme="majorBidi" w:hAnsiTheme="majorBidi" w:cstheme="majorBidi"/>
          <w:sz w:val="24"/>
          <w:szCs w:val="24"/>
          <w:lang w:bidi="ar-IQ"/>
        </w:rPr>
        <w:t xml:space="preserve">Treatment of CML patients with first line TKI </w:t>
      </w:r>
      <w:r w:rsidR="00E92503" w:rsidRPr="009967AA">
        <w:rPr>
          <w:rFonts w:asciiTheme="majorBidi" w:hAnsiTheme="majorBidi" w:cstheme="majorBidi"/>
          <w:sz w:val="24"/>
          <w:szCs w:val="24"/>
          <w:lang w:bidi="ar-IQ"/>
        </w:rPr>
        <w:t>Imatinib (</w:t>
      </w:r>
      <w:r w:rsidR="00003732" w:rsidRPr="009967AA">
        <w:rPr>
          <w:rFonts w:asciiTheme="majorBidi" w:hAnsiTheme="majorBidi" w:cstheme="majorBidi"/>
          <w:sz w:val="24"/>
          <w:szCs w:val="24"/>
          <w:lang w:bidi="ar-IQ"/>
        </w:rPr>
        <w:t>Gleevec</w:t>
      </w:r>
      <w:r w:rsidR="00BB697C">
        <w:rPr>
          <w:rFonts w:asciiTheme="majorBidi" w:hAnsiTheme="majorBidi" w:cstheme="majorBidi"/>
          <w:sz w:val="24"/>
          <w:szCs w:val="24"/>
          <w:lang w:bidi="ar-IQ"/>
        </w:rPr>
        <w:t>)</w:t>
      </w:r>
      <w:r w:rsidR="00841AA8" w:rsidRPr="009967AA">
        <w:rPr>
          <w:rFonts w:asciiTheme="majorBidi" w:hAnsiTheme="majorBidi" w:cstheme="majorBidi"/>
          <w:sz w:val="24"/>
          <w:szCs w:val="24"/>
          <w:lang w:bidi="ar-IQ"/>
        </w:rPr>
        <w:t xml:space="preserve"> was associated with</w:t>
      </w:r>
      <w:r w:rsidR="004264F5">
        <w:rPr>
          <w:rFonts w:asciiTheme="majorBidi" w:hAnsiTheme="majorBidi" w:cstheme="majorBidi"/>
          <w:sz w:val="24"/>
          <w:szCs w:val="24"/>
          <w:lang w:bidi="ar-IQ"/>
        </w:rPr>
        <w:t xml:space="preserve"> optimal hematological</w:t>
      </w:r>
      <w:r w:rsidR="00E92503" w:rsidRPr="009967AA">
        <w:rPr>
          <w:rFonts w:asciiTheme="majorBidi" w:hAnsiTheme="majorBidi" w:cstheme="majorBidi"/>
          <w:sz w:val="24"/>
          <w:szCs w:val="24"/>
          <w:lang w:bidi="ar-IQ"/>
        </w:rPr>
        <w:t xml:space="preserve"> and cytogenetic responses in a good percentage of patients.Delayed complete cytogenetic response(suboptimal) occurred in higher percentage than optimal cytogenetic response</w:t>
      </w:r>
      <w:r w:rsidR="00841AA8" w:rsidRPr="009967AA">
        <w:rPr>
          <w:rFonts w:asciiTheme="majorBidi" w:hAnsiTheme="majorBidi" w:cstheme="majorBidi"/>
          <w:sz w:val="24"/>
          <w:szCs w:val="24"/>
          <w:lang w:bidi="ar-IQ"/>
        </w:rPr>
        <w:t>in Imatinib</w:t>
      </w:r>
      <w:r w:rsidR="00BB697C">
        <w:rPr>
          <w:rFonts w:asciiTheme="majorBidi" w:hAnsiTheme="majorBidi" w:cstheme="majorBidi"/>
          <w:sz w:val="24"/>
          <w:szCs w:val="24"/>
          <w:lang w:bidi="ar-IQ"/>
        </w:rPr>
        <w:t>treated patients</w:t>
      </w:r>
      <w:r w:rsidR="00841AA8" w:rsidRPr="009967AA">
        <w:rPr>
          <w:rFonts w:asciiTheme="majorBidi" w:hAnsiTheme="majorBidi" w:cstheme="majorBidi"/>
          <w:sz w:val="24"/>
          <w:szCs w:val="24"/>
          <w:lang w:bidi="ar-IQ"/>
        </w:rPr>
        <w:t xml:space="preserve">, the former </w:t>
      </w:r>
      <w:r w:rsidR="00F77962" w:rsidRPr="009967AA">
        <w:rPr>
          <w:rFonts w:asciiTheme="majorBidi" w:hAnsiTheme="majorBidi" w:cstheme="majorBidi"/>
          <w:sz w:val="24"/>
          <w:szCs w:val="24"/>
          <w:lang w:bidi="ar-IQ"/>
        </w:rPr>
        <w:t>showed more tha</w:t>
      </w:r>
      <w:r w:rsidR="00074A8C" w:rsidRPr="009967AA">
        <w:rPr>
          <w:rFonts w:asciiTheme="majorBidi" w:hAnsiTheme="majorBidi" w:cstheme="majorBidi"/>
          <w:sz w:val="24"/>
          <w:szCs w:val="24"/>
          <w:lang w:bidi="ar-IQ"/>
        </w:rPr>
        <w:t>n</w:t>
      </w:r>
      <w:r w:rsidR="00F77962" w:rsidRPr="009967AA">
        <w:rPr>
          <w:rFonts w:asciiTheme="majorBidi" w:hAnsiTheme="majorBidi" w:cstheme="majorBidi"/>
          <w:sz w:val="24"/>
          <w:szCs w:val="24"/>
          <w:lang w:bidi="ar-IQ"/>
        </w:rPr>
        <w:t xml:space="preserve"> 19% molecular failure as compared wi</w:t>
      </w:r>
      <w:r w:rsidR="00841AA8" w:rsidRPr="009967AA">
        <w:rPr>
          <w:rFonts w:asciiTheme="majorBidi" w:hAnsiTheme="majorBidi" w:cstheme="majorBidi"/>
          <w:sz w:val="24"/>
          <w:szCs w:val="24"/>
          <w:lang w:bidi="ar-IQ"/>
        </w:rPr>
        <w:t>th  the latter</w:t>
      </w:r>
      <w:r w:rsidR="00F77962" w:rsidRPr="009967AA">
        <w:rPr>
          <w:rFonts w:asciiTheme="majorBidi" w:hAnsiTheme="majorBidi" w:cstheme="majorBidi"/>
          <w:sz w:val="24"/>
          <w:szCs w:val="24"/>
          <w:lang w:bidi="ar-IQ"/>
        </w:rPr>
        <w:t xml:space="preserve"> which showed less than 10% molecular failure. </w:t>
      </w:r>
    </w:p>
    <w:p w:rsidR="00F56DA5" w:rsidRDefault="00BB697C" w:rsidP="004264F5">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The majority</w:t>
      </w:r>
      <w:r w:rsidR="00841AA8" w:rsidRPr="009967AA">
        <w:rPr>
          <w:rFonts w:asciiTheme="majorBidi" w:hAnsiTheme="majorBidi" w:cstheme="majorBidi"/>
          <w:sz w:val="24"/>
          <w:szCs w:val="24"/>
          <w:lang w:bidi="ar-IQ"/>
        </w:rPr>
        <w:t xml:space="preserve"> of Nilotinib</w:t>
      </w:r>
      <w:r w:rsidR="00E92503" w:rsidRPr="009967AA">
        <w:rPr>
          <w:rFonts w:asciiTheme="majorBidi" w:hAnsiTheme="majorBidi" w:cstheme="majorBidi"/>
          <w:sz w:val="24"/>
          <w:szCs w:val="24"/>
          <w:lang w:bidi="ar-IQ"/>
        </w:rPr>
        <w:t xml:space="preserve"> switched pa</w:t>
      </w:r>
      <w:r w:rsidR="00841AA8" w:rsidRPr="009967AA">
        <w:rPr>
          <w:rFonts w:asciiTheme="majorBidi" w:hAnsiTheme="majorBidi" w:cstheme="majorBidi"/>
          <w:sz w:val="24"/>
          <w:szCs w:val="24"/>
          <w:lang w:bidi="ar-IQ"/>
        </w:rPr>
        <w:t>tients after Imatinib</w:t>
      </w:r>
      <w:r w:rsidR="00BF3771" w:rsidRPr="009967AA">
        <w:rPr>
          <w:rFonts w:asciiTheme="majorBidi" w:hAnsiTheme="majorBidi" w:cstheme="majorBidi"/>
          <w:sz w:val="24"/>
          <w:szCs w:val="24"/>
          <w:lang w:bidi="ar-IQ"/>
        </w:rPr>
        <w:t xml:space="preserve"> failure</w:t>
      </w:r>
      <w:r w:rsidR="00E92503" w:rsidRPr="009967AA">
        <w:rPr>
          <w:rFonts w:asciiTheme="majorBidi" w:hAnsiTheme="majorBidi" w:cstheme="majorBidi"/>
          <w:sz w:val="24"/>
          <w:szCs w:val="24"/>
          <w:lang w:bidi="ar-IQ"/>
        </w:rPr>
        <w:t xml:space="preserve"> achieved complet</w:t>
      </w:r>
      <w:r w:rsidR="00841AA8" w:rsidRPr="009967AA">
        <w:rPr>
          <w:rFonts w:asciiTheme="majorBidi" w:hAnsiTheme="majorBidi" w:cstheme="majorBidi"/>
          <w:sz w:val="24"/>
          <w:szCs w:val="24"/>
          <w:lang w:bidi="ar-IQ"/>
        </w:rPr>
        <w:t>e cytogenetic response although some</w:t>
      </w:r>
      <w:r w:rsidR="00E92503" w:rsidRPr="009967AA">
        <w:rPr>
          <w:rFonts w:asciiTheme="majorBidi" w:hAnsiTheme="majorBidi" w:cstheme="majorBidi"/>
          <w:sz w:val="24"/>
          <w:szCs w:val="24"/>
          <w:lang w:bidi="ar-IQ"/>
        </w:rPr>
        <w:t xml:space="preserve"> showed delayed response and more than half </w:t>
      </w:r>
      <w:r w:rsidR="00BF3771" w:rsidRPr="009967AA">
        <w:rPr>
          <w:rFonts w:asciiTheme="majorBidi" w:hAnsiTheme="majorBidi" w:cstheme="majorBidi"/>
          <w:sz w:val="24"/>
          <w:szCs w:val="24"/>
          <w:lang w:bidi="ar-IQ"/>
        </w:rPr>
        <w:t xml:space="preserve">of patients got major molecular </w:t>
      </w:r>
      <w:r w:rsidR="00E92503" w:rsidRPr="009967AA">
        <w:rPr>
          <w:rFonts w:asciiTheme="majorBidi" w:hAnsiTheme="majorBidi" w:cstheme="majorBidi"/>
          <w:sz w:val="24"/>
          <w:szCs w:val="24"/>
          <w:lang w:bidi="ar-IQ"/>
        </w:rPr>
        <w:t>response.Both drugs were safe and well tolerated</w:t>
      </w:r>
      <w:r w:rsidR="00AF1725" w:rsidRPr="009967AA">
        <w:rPr>
          <w:rFonts w:asciiTheme="majorBidi" w:hAnsiTheme="majorBidi" w:cstheme="majorBidi"/>
          <w:sz w:val="24"/>
          <w:szCs w:val="24"/>
          <w:lang w:bidi="ar-IQ"/>
        </w:rPr>
        <w:t xml:space="preserve"> with minor</w:t>
      </w:r>
      <w:r w:rsidR="00E92503" w:rsidRPr="009967AA">
        <w:rPr>
          <w:rFonts w:asciiTheme="majorBidi" w:hAnsiTheme="majorBidi" w:cstheme="majorBidi"/>
          <w:sz w:val="24"/>
          <w:szCs w:val="24"/>
          <w:lang w:bidi="ar-IQ"/>
        </w:rPr>
        <w:t xml:space="preserve"> adverse effects.</w:t>
      </w:r>
    </w:p>
    <w:p w:rsidR="00344CFF" w:rsidRPr="00BB697C" w:rsidRDefault="00344CFF" w:rsidP="00344CFF">
      <w:pPr>
        <w:bidi w:val="0"/>
        <w:spacing w:after="0" w:line="240" w:lineRule="auto"/>
        <w:jc w:val="both"/>
        <w:rPr>
          <w:rFonts w:asciiTheme="majorBidi" w:hAnsiTheme="majorBidi" w:cstheme="majorBidi"/>
          <w:sz w:val="14"/>
          <w:szCs w:val="14"/>
          <w:lang w:bidi="ar-IQ"/>
        </w:rPr>
      </w:pPr>
    </w:p>
    <w:p w:rsidR="000D4885" w:rsidRPr="009967AA" w:rsidRDefault="00AC43C9" w:rsidP="00344CFF">
      <w:pPr>
        <w:bidi w:val="0"/>
        <w:spacing w:after="0" w:line="240" w:lineRule="auto"/>
        <w:jc w:val="both"/>
        <w:rPr>
          <w:rFonts w:asciiTheme="majorBidi" w:hAnsiTheme="majorBidi" w:cstheme="majorBidi"/>
          <w:b/>
          <w:bCs/>
          <w:sz w:val="24"/>
          <w:szCs w:val="24"/>
          <w:u w:val="single"/>
          <w:lang w:bidi="ar-IQ"/>
        </w:rPr>
      </w:pPr>
      <w:r w:rsidRPr="009967AA">
        <w:rPr>
          <w:rFonts w:asciiTheme="majorBidi" w:hAnsiTheme="majorBidi" w:cstheme="majorBidi"/>
          <w:b/>
          <w:bCs/>
          <w:sz w:val="24"/>
          <w:szCs w:val="24"/>
          <w:u w:val="single"/>
          <w:lang w:bidi="ar-IQ"/>
        </w:rPr>
        <w:t>References</w:t>
      </w:r>
    </w:p>
    <w:p w:rsidR="00AC43C9" w:rsidRPr="009967AA" w:rsidRDefault="00AC43C9"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Deininger M, O Brain S, Ford J, Druker B. Practical management of patients with chronic myeloid leukemia receiving imatinib. J ClinOncol 2003; 21(8):1637-47.</w:t>
      </w:r>
    </w:p>
    <w:p w:rsidR="00AC43C9" w:rsidRPr="009967AA" w:rsidRDefault="00AC43C9"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 xml:space="preserve">Druker BJ. Translation of the Pheladeiphia chromosome in to therapy for CML. </w:t>
      </w:r>
      <w:r w:rsidR="00B87D93" w:rsidRPr="009967AA">
        <w:rPr>
          <w:rFonts w:asciiTheme="majorBidi" w:hAnsiTheme="majorBidi" w:cstheme="majorBidi"/>
          <w:sz w:val="24"/>
          <w:szCs w:val="24"/>
          <w:lang w:bidi="ar-IQ"/>
        </w:rPr>
        <w:t>Blood 2008; 112:4808-17.</w:t>
      </w:r>
    </w:p>
    <w:p w:rsidR="00B87D93" w:rsidRPr="009967AA" w:rsidRDefault="005B2531"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Branford S, Hughes T. Diagnosis and monitoring of chronic myeloid leukemia by qualitative and quantitative RT-PCR. MethodesMol Med. 2006; 125: 69-92.</w:t>
      </w:r>
    </w:p>
    <w:p w:rsidR="00B87D93" w:rsidRPr="009967AA" w:rsidRDefault="00B87D93"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Pignon JM. Bcr-abl translocation: diagnostic methods and clini</w:t>
      </w:r>
      <w:r w:rsidR="00FB60BF" w:rsidRPr="009967AA">
        <w:rPr>
          <w:rFonts w:asciiTheme="majorBidi" w:hAnsiTheme="majorBidi" w:cstheme="majorBidi"/>
          <w:sz w:val="24"/>
          <w:szCs w:val="24"/>
          <w:lang w:bidi="ar-IQ"/>
        </w:rPr>
        <w:t>cal value. Ann BiolClin. 19</w:t>
      </w:r>
      <w:r w:rsidR="00C70434" w:rsidRPr="009967AA">
        <w:rPr>
          <w:rFonts w:asciiTheme="majorBidi" w:hAnsiTheme="majorBidi" w:cstheme="majorBidi"/>
          <w:sz w:val="24"/>
          <w:szCs w:val="24"/>
          <w:lang w:bidi="ar-IQ"/>
        </w:rPr>
        <w:t>98</w:t>
      </w:r>
      <w:r w:rsidRPr="009967AA">
        <w:rPr>
          <w:rFonts w:asciiTheme="majorBidi" w:hAnsiTheme="majorBidi" w:cstheme="majorBidi"/>
          <w:sz w:val="24"/>
          <w:szCs w:val="24"/>
          <w:lang w:bidi="ar-IQ"/>
        </w:rPr>
        <w:t>;56(1):57-63.</w:t>
      </w:r>
    </w:p>
    <w:p w:rsidR="00B87D93" w:rsidRPr="009967AA" w:rsidRDefault="0024295D"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Hughes T. ABL kinase inhibitor therpy for CML: baseline assessments and response monitoring. Hematology 2006;20(1): 211-8.</w:t>
      </w:r>
    </w:p>
    <w:p w:rsidR="00E54C5D" w:rsidRPr="009967AA" w:rsidRDefault="00E54C5D"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Kant</w:t>
      </w:r>
      <w:r w:rsidR="00C24C31" w:rsidRPr="009967AA">
        <w:rPr>
          <w:rFonts w:asciiTheme="majorBidi" w:hAnsiTheme="majorBidi" w:cstheme="majorBidi"/>
          <w:sz w:val="24"/>
          <w:szCs w:val="24"/>
          <w:lang w:bidi="ar-IQ"/>
        </w:rPr>
        <w:t>arjian H, Talpaz M, O Brien S, Garcia-Manero G, Verstovsek S, Giles F, et al. High-dose imatinibmesylate therapy in newly diagnosed Philadelphia chromosome-positive chronic phase chronic myeloid leukemia. Blood 2004;103(8): 2873-8.</w:t>
      </w:r>
    </w:p>
    <w:p w:rsidR="00C24C31" w:rsidRPr="009967AA" w:rsidRDefault="00C24C31"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Garcia-Manero G, Faderal S, O Brien S, Cortes J, Talpaz M, Kantarjian HM. Chronic myelogenous leukemia: a review and update of therapeutic stratigies. Cancer 2003;98(3): 437-57</w:t>
      </w:r>
    </w:p>
    <w:p w:rsidR="00C24C31" w:rsidRPr="009967AA" w:rsidRDefault="00C24C31"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lastRenderedPageBreak/>
        <w:t>Vardiman JW, Melo</w:t>
      </w:r>
      <w:r w:rsidR="004D2F39" w:rsidRPr="009967AA">
        <w:rPr>
          <w:rFonts w:asciiTheme="majorBidi" w:hAnsiTheme="majorBidi" w:cstheme="majorBidi"/>
          <w:sz w:val="24"/>
          <w:szCs w:val="24"/>
          <w:lang w:bidi="ar-IQ"/>
        </w:rPr>
        <w:t>JV, Baccarini M, Thiele J. Chronic myelogenous leukemia BCR-ABL positive. In: Steven HS, Elias C, Nancy LH, editors. WHO classification of tumors of hematopoietic and lymphoid tissues, 4th ed. Lyon: International Agency for Research on cancer (IARC); 2008.p.32-7.</w:t>
      </w:r>
    </w:p>
    <w:p w:rsidR="00E96933" w:rsidRPr="00BB697C" w:rsidRDefault="00603ABD"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 xml:space="preserve">National Comprehensive Cancer Network. Clinical practice guidline in oncology, v. 1. 2007; 1-48. Available from </w:t>
      </w:r>
      <w:r w:rsidRPr="00BB697C">
        <w:rPr>
          <w:rFonts w:asciiTheme="majorBidi" w:hAnsiTheme="majorBidi" w:cstheme="majorBidi"/>
          <w:sz w:val="24"/>
          <w:szCs w:val="24"/>
          <w:lang w:bidi="ar-IQ"/>
        </w:rPr>
        <w:t xml:space="preserve">: URL: </w:t>
      </w:r>
      <w:hyperlink r:id="rId15" w:history="1">
        <w:r w:rsidRPr="00BB697C">
          <w:rPr>
            <w:rStyle w:val="Hyperlink"/>
            <w:rFonts w:asciiTheme="majorBidi" w:hAnsiTheme="majorBidi" w:cstheme="majorBidi"/>
            <w:color w:val="auto"/>
            <w:sz w:val="24"/>
            <w:szCs w:val="24"/>
            <w:u w:val="none"/>
            <w:lang w:bidi="ar-IQ"/>
          </w:rPr>
          <w:t>http://www.nccn.org</w:t>
        </w:r>
      </w:hyperlink>
      <w:r w:rsidRPr="00BB697C">
        <w:rPr>
          <w:rFonts w:asciiTheme="majorBidi" w:hAnsiTheme="majorBidi" w:cstheme="majorBidi"/>
          <w:sz w:val="24"/>
          <w:szCs w:val="24"/>
          <w:lang w:bidi="ar-IQ"/>
        </w:rPr>
        <w:t>.</w:t>
      </w:r>
    </w:p>
    <w:p w:rsidR="00E96933" w:rsidRPr="009967AA" w:rsidRDefault="00171B21"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color w:val="000000"/>
          <w:sz w:val="24"/>
          <w:szCs w:val="24"/>
          <w:shd w:val="clear" w:color="auto" w:fill="FFFFFF"/>
        </w:rPr>
        <w:t>National Co</w:t>
      </w:r>
      <w:r w:rsidR="00C70434" w:rsidRPr="009967AA">
        <w:rPr>
          <w:rFonts w:asciiTheme="majorBidi" w:hAnsiTheme="majorBidi" w:cstheme="majorBidi"/>
          <w:color w:val="000000"/>
          <w:sz w:val="24"/>
          <w:szCs w:val="24"/>
          <w:shd w:val="clear" w:color="auto" w:fill="FFFFFF"/>
        </w:rPr>
        <w:t>mprehensive Cancer Network</w:t>
      </w:r>
      <w:r w:rsidRPr="009967AA">
        <w:rPr>
          <w:rFonts w:asciiTheme="majorBidi" w:hAnsiTheme="majorBidi" w:cstheme="majorBidi"/>
          <w:color w:val="000000"/>
          <w:sz w:val="24"/>
          <w:szCs w:val="24"/>
          <w:shd w:val="clear" w:color="auto" w:fill="FFFFFF"/>
        </w:rPr>
        <w:t>. Clinical Practice Guidelines in Oncology. Chronic Myelogenous Leukemia. Version 2. Available at:</w:t>
      </w:r>
      <w:r w:rsidRPr="009967AA">
        <w:rPr>
          <w:rStyle w:val="apple-converted-space"/>
          <w:rFonts w:asciiTheme="majorBidi" w:hAnsiTheme="majorBidi" w:cstheme="majorBidi"/>
          <w:color w:val="000000"/>
          <w:sz w:val="24"/>
          <w:szCs w:val="24"/>
          <w:shd w:val="clear" w:color="auto" w:fill="FFFFFF"/>
        </w:rPr>
        <w:t> </w:t>
      </w:r>
      <w:hyperlink r:id="rId16" w:history="1">
        <w:r w:rsidR="00C70434" w:rsidRPr="00BB697C">
          <w:rPr>
            <w:rStyle w:val="Hyperlink"/>
            <w:rFonts w:asciiTheme="majorBidi" w:hAnsiTheme="majorBidi" w:cstheme="majorBidi"/>
            <w:color w:val="auto"/>
            <w:sz w:val="24"/>
            <w:szCs w:val="24"/>
            <w:u w:val="none"/>
            <w:shd w:val="clear" w:color="auto" w:fill="FFFFFF"/>
          </w:rPr>
          <w:t>http://www.nccn.org/professionals/physician_gls/PDF/cml.pdf. Accessed January 24</w:t>
        </w:r>
      </w:hyperlink>
      <w:r w:rsidR="00C00CA7" w:rsidRPr="00BB697C">
        <w:rPr>
          <w:rFonts w:asciiTheme="majorBidi" w:hAnsiTheme="majorBidi" w:cstheme="majorBidi"/>
          <w:sz w:val="24"/>
          <w:szCs w:val="24"/>
          <w:shd w:val="clear" w:color="auto" w:fill="FFFFFF"/>
        </w:rPr>
        <w:t>,</w:t>
      </w:r>
      <w:r w:rsidR="00C00CA7" w:rsidRPr="009967AA">
        <w:rPr>
          <w:rFonts w:asciiTheme="majorBidi" w:hAnsiTheme="majorBidi" w:cstheme="majorBidi"/>
          <w:color w:val="000000"/>
          <w:sz w:val="24"/>
          <w:szCs w:val="24"/>
          <w:shd w:val="clear" w:color="auto" w:fill="FFFFFF"/>
        </w:rPr>
        <w:t xml:space="preserve"> 2015</w:t>
      </w:r>
      <w:r w:rsidRPr="009967AA">
        <w:rPr>
          <w:rFonts w:asciiTheme="majorBidi" w:hAnsiTheme="majorBidi" w:cstheme="majorBidi"/>
          <w:color w:val="000000"/>
          <w:sz w:val="24"/>
          <w:szCs w:val="24"/>
          <w:shd w:val="clear" w:color="auto" w:fill="FFFFFF"/>
        </w:rPr>
        <w:t>.</w:t>
      </w:r>
    </w:p>
    <w:p w:rsidR="00603ABD" w:rsidRPr="009967AA" w:rsidRDefault="003F4C05"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Style w:val="element-citation"/>
          <w:rFonts w:asciiTheme="majorBidi" w:hAnsiTheme="majorBidi" w:cstheme="majorBidi"/>
          <w:color w:val="000000"/>
          <w:sz w:val="24"/>
          <w:szCs w:val="24"/>
          <w:shd w:val="clear" w:color="auto" w:fill="FFFFFF"/>
        </w:rPr>
        <w:t>Baccarani M, Deininger MW, Rosti G, Hochhaus A, Soverini S, et al</w:t>
      </w:r>
      <w:r w:rsidR="00E96933" w:rsidRPr="009967AA">
        <w:rPr>
          <w:rStyle w:val="element-citation"/>
          <w:rFonts w:asciiTheme="majorBidi" w:hAnsiTheme="majorBidi" w:cstheme="majorBidi"/>
          <w:color w:val="000000"/>
          <w:sz w:val="24"/>
          <w:szCs w:val="24"/>
          <w:shd w:val="clear" w:color="auto" w:fill="FFFFFF"/>
        </w:rPr>
        <w:t>.</w:t>
      </w:r>
      <w:r w:rsidR="00E96933" w:rsidRPr="009967AA">
        <w:rPr>
          <w:rStyle w:val="apple-converted-space"/>
          <w:rFonts w:asciiTheme="majorBidi" w:hAnsiTheme="majorBidi" w:cstheme="majorBidi"/>
          <w:color w:val="000000"/>
          <w:sz w:val="24"/>
          <w:szCs w:val="24"/>
          <w:shd w:val="clear" w:color="auto" w:fill="FFFFFF"/>
        </w:rPr>
        <w:t> </w:t>
      </w:r>
      <w:r w:rsidRPr="009967AA">
        <w:rPr>
          <w:rFonts w:asciiTheme="majorBidi" w:hAnsiTheme="majorBidi" w:cstheme="majorBidi"/>
          <w:sz w:val="24"/>
          <w:szCs w:val="24"/>
          <w:lang w:bidi="ar-IQ"/>
        </w:rPr>
        <w:t>European Leukemia Net recommendations for the management of chronic myeloid leukemia. Blood 2013; 122(6): 872-84.</w:t>
      </w:r>
    </w:p>
    <w:p w:rsidR="00966BEE" w:rsidRPr="009967AA" w:rsidRDefault="00966BEE" w:rsidP="00344CFF">
      <w:pPr>
        <w:pStyle w:val="a6"/>
        <w:numPr>
          <w:ilvl w:val="0"/>
          <w:numId w:val="6"/>
        </w:numPr>
        <w:bidi w:val="0"/>
        <w:spacing w:after="0" w:line="240" w:lineRule="auto"/>
        <w:ind w:left="0" w:firstLine="0"/>
        <w:jc w:val="both"/>
        <w:rPr>
          <w:rStyle w:val="nowrap"/>
          <w:rFonts w:asciiTheme="majorBidi" w:hAnsiTheme="majorBidi" w:cstheme="majorBidi"/>
          <w:sz w:val="24"/>
          <w:szCs w:val="24"/>
          <w:lang w:bidi="ar-IQ"/>
        </w:rPr>
      </w:pPr>
      <w:r w:rsidRPr="009967AA">
        <w:rPr>
          <w:rStyle w:val="apple-converted-space"/>
          <w:rFonts w:asciiTheme="majorBidi" w:hAnsiTheme="majorBidi" w:cstheme="majorBidi"/>
          <w:color w:val="000000"/>
          <w:sz w:val="24"/>
          <w:szCs w:val="24"/>
          <w:shd w:val="clear" w:color="auto" w:fill="FFFFFF"/>
        </w:rPr>
        <w:t> </w:t>
      </w:r>
      <w:r w:rsidRPr="009967AA">
        <w:rPr>
          <w:rStyle w:val="element-citation"/>
          <w:rFonts w:asciiTheme="majorBidi" w:hAnsiTheme="majorBidi" w:cstheme="majorBidi"/>
          <w:color w:val="000000"/>
          <w:sz w:val="24"/>
          <w:szCs w:val="24"/>
          <w:shd w:val="clear" w:color="auto" w:fill="FFFFFF"/>
        </w:rPr>
        <w:t>Marin D, Milojkovic D, Olavarria E, et al. European LeukemiaNet criteria for failure or suboptimal response reliably identify patients with CML in early chronic phase treated with imatinib whose eventual outcome is poor.</w:t>
      </w:r>
      <w:r w:rsidRPr="009967AA">
        <w:rPr>
          <w:rStyle w:val="ref-journal"/>
          <w:rFonts w:asciiTheme="majorBidi" w:hAnsiTheme="majorBidi" w:cstheme="majorBidi"/>
          <w:color w:val="000000"/>
          <w:sz w:val="24"/>
          <w:szCs w:val="24"/>
          <w:shd w:val="clear" w:color="auto" w:fill="FFFFFF"/>
        </w:rPr>
        <w:t>Blood.</w:t>
      </w:r>
      <w:r w:rsidRPr="009967AA">
        <w:rPr>
          <w:rStyle w:val="apple-converted-space"/>
          <w:rFonts w:asciiTheme="majorBidi" w:hAnsiTheme="majorBidi" w:cstheme="majorBidi"/>
          <w:color w:val="000000"/>
          <w:sz w:val="24"/>
          <w:szCs w:val="24"/>
          <w:shd w:val="clear" w:color="auto" w:fill="FFFFFF"/>
        </w:rPr>
        <w:t> </w:t>
      </w:r>
      <w:r w:rsidRPr="009967AA">
        <w:rPr>
          <w:rStyle w:val="element-citation"/>
          <w:rFonts w:asciiTheme="majorBidi" w:hAnsiTheme="majorBidi" w:cstheme="majorBidi"/>
          <w:color w:val="000000"/>
          <w:sz w:val="24"/>
          <w:szCs w:val="24"/>
          <w:shd w:val="clear" w:color="auto" w:fill="FFFFFF"/>
        </w:rPr>
        <w:t>2008;</w:t>
      </w:r>
      <w:r w:rsidRPr="009967AA">
        <w:rPr>
          <w:rStyle w:val="ref-vol"/>
          <w:rFonts w:asciiTheme="majorBidi" w:hAnsiTheme="majorBidi" w:cstheme="majorBidi"/>
          <w:color w:val="000000"/>
          <w:sz w:val="24"/>
          <w:szCs w:val="24"/>
          <w:shd w:val="clear" w:color="auto" w:fill="FFFFFF"/>
        </w:rPr>
        <w:t>112</w:t>
      </w:r>
      <w:r w:rsidRPr="009967AA">
        <w:rPr>
          <w:rStyle w:val="element-citation"/>
          <w:rFonts w:asciiTheme="majorBidi" w:hAnsiTheme="majorBidi" w:cstheme="majorBidi"/>
          <w:color w:val="000000"/>
          <w:sz w:val="24"/>
          <w:szCs w:val="24"/>
          <w:shd w:val="clear" w:color="auto" w:fill="FFFFFF"/>
        </w:rPr>
        <w:t>:4437–4444.</w:t>
      </w:r>
      <w:r w:rsidRPr="009967AA">
        <w:rPr>
          <w:rStyle w:val="apple-converted-space"/>
          <w:rFonts w:asciiTheme="majorBidi" w:hAnsiTheme="majorBidi" w:cstheme="majorBidi"/>
          <w:color w:val="000000"/>
          <w:sz w:val="24"/>
          <w:szCs w:val="24"/>
          <w:shd w:val="clear" w:color="auto" w:fill="FFFFFF"/>
        </w:rPr>
        <w:t> </w:t>
      </w:r>
    </w:p>
    <w:p w:rsidR="00966BEE" w:rsidRPr="009967AA" w:rsidRDefault="00966BEE" w:rsidP="00344CFF">
      <w:pPr>
        <w:pStyle w:val="a6"/>
        <w:numPr>
          <w:ilvl w:val="0"/>
          <w:numId w:val="6"/>
        </w:numPr>
        <w:bidi w:val="0"/>
        <w:spacing w:after="0" w:line="240" w:lineRule="auto"/>
        <w:ind w:left="0" w:firstLine="0"/>
        <w:jc w:val="both"/>
        <w:rPr>
          <w:rFonts w:asciiTheme="majorBidi" w:hAnsiTheme="majorBidi" w:cstheme="majorBidi"/>
          <w:sz w:val="24"/>
          <w:szCs w:val="24"/>
          <w:lang w:bidi="ar-IQ"/>
        </w:rPr>
      </w:pPr>
      <w:r w:rsidRPr="009967AA">
        <w:rPr>
          <w:rStyle w:val="nowrap"/>
          <w:rFonts w:asciiTheme="majorBidi" w:hAnsiTheme="majorBidi" w:cstheme="majorBidi"/>
          <w:color w:val="000000"/>
          <w:sz w:val="24"/>
          <w:szCs w:val="24"/>
          <w:shd w:val="clear" w:color="auto" w:fill="FFFFFF"/>
        </w:rPr>
        <w:t>Harieche F, Abdennebi N, Boukhemi</w:t>
      </w:r>
      <w:r w:rsidR="00C00CA7" w:rsidRPr="009967AA">
        <w:rPr>
          <w:rStyle w:val="nowrap"/>
          <w:rFonts w:asciiTheme="majorBidi" w:hAnsiTheme="majorBidi" w:cstheme="majorBidi"/>
          <w:color w:val="000000"/>
          <w:sz w:val="24"/>
          <w:szCs w:val="24"/>
          <w:shd w:val="clear" w:color="auto" w:fill="FFFFFF"/>
        </w:rPr>
        <w:t>a F, Zerhouni F, M.Hamladji R. E</w:t>
      </w:r>
      <w:r w:rsidRPr="009967AA">
        <w:rPr>
          <w:rStyle w:val="nowrap"/>
          <w:rFonts w:asciiTheme="majorBidi" w:hAnsiTheme="majorBidi" w:cstheme="majorBidi"/>
          <w:color w:val="000000"/>
          <w:sz w:val="24"/>
          <w:szCs w:val="24"/>
          <w:shd w:val="clear" w:color="auto" w:fill="FFFFFF"/>
        </w:rPr>
        <w:t>valuation of cytogenetic response in patient with CML in chronic phase. Revue Algerienne d Hematologie 20</w:t>
      </w:r>
      <w:r w:rsidR="00C70434" w:rsidRPr="009967AA">
        <w:rPr>
          <w:rStyle w:val="nowrap"/>
          <w:rFonts w:asciiTheme="majorBidi" w:hAnsiTheme="majorBidi" w:cstheme="majorBidi"/>
          <w:color w:val="000000"/>
          <w:sz w:val="24"/>
          <w:szCs w:val="24"/>
          <w:shd w:val="clear" w:color="auto" w:fill="FFFFFF"/>
        </w:rPr>
        <w:t>1</w:t>
      </w:r>
      <w:r w:rsidRPr="009967AA">
        <w:rPr>
          <w:rStyle w:val="nowrap"/>
          <w:rFonts w:asciiTheme="majorBidi" w:hAnsiTheme="majorBidi" w:cstheme="majorBidi"/>
          <w:color w:val="000000"/>
          <w:sz w:val="24"/>
          <w:szCs w:val="24"/>
          <w:shd w:val="clear" w:color="auto" w:fill="FFFFFF"/>
        </w:rPr>
        <w:t>1;3:32-37.</w:t>
      </w:r>
    </w:p>
    <w:p w:rsidR="00E96933" w:rsidRPr="009967AA" w:rsidRDefault="00423E3C"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Rajappa S, Varadpande L, Paul T, Jacob R, Digumarti R. Imatinibmesylate in early chronic phase myeloid leukemia: Experience from a developing country. Leuk Lymphoma 2008; 49(3):554-8.</w:t>
      </w:r>
    </w:p>
    <w:p w:rsidR="002326F9" w:rsidRPr="009967AA" w:rsidRDefault="002326F9"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Druker BJ, Guilhot F, O</w:t>
      </w:r>
      <w:r w:rsidRPr="009967AA">
        <w:rPr>
          <w:rFonts w:asciiTheme="majorBidi" w:hAnsiTheme="majorBidi" w:cstheme="majorBidi"/>
          <w:sz w:val="24"/>
          <w:szCs w:val="24"/>
          <w:vertAlign w:val="superscript"/>
          <w:lang w:bidi="ar-IQ"/>
        </w:rPr>
        <w:t>,</w:t>
      </w:r>
      <w:r w:rsidRPr="009967AA">
        <w:rPr>
          <w:rFonts w:asciiTheme="majorBidi" w:hAnsiTheme="majorBidi" w:cstheme="majorBidi"/>
          <w:sz w:val="24"/>
          <w:szCs w:val="24"/>
          <w:lang w:bidi="ar-IQ"/>
        </w:rPr>
        <w:t>Brien SG, Gathmann I, Kantarjian H, Gattermann N, et al. Five-year follow-up of patients receiving imatinib for chronic myeloid leukemia.N Engl J Med 2006; 355(23): 2408-</w:t>
      </w:r>
      <w:r w:rsidR="004264F5">
        <w:rPr>
          <w:rFonts w:asciiTheme="majorBidi" w:hAnsiTheme="majorBidi" w:cstheme="majorBidi"/>
          <w:sz w:val="24"/>
          <w:szCs w:val="24"/>
          <w:lang w:bidi="ar-IQ"/>
        </w:rPr>
        <w:t>24</w:t>
      </w:r>
      <w:r w:rsidRPr="009967AA">
        <w:rPr>
          <w:rFonts w:asciiTheme="majorBidi" w:hAnsiTheme="majorBidi" w:cstheme="majorBidi"/>
          <w:sz w:val="24"/>
          <w:szCs w:val="24"/>
          <w:lang w:bidi="ar-IQ"/>
        </w:rPr>
        <w:t>17.</w:t>
      </w:r>
    </w:p>
    <w:p w:rsidR="00BF27B1" w:rsidRPr="009967AA" w:rsidRDefault="00BF27B1"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Fonts w:asciiTheme="majorBidi" w:eastAsia="Times New Roman" w:hAnsiTheme="majorBidi" w:cstheme="majorBidi"/>
          <w:color w:val="000000"/>
          <w:sz w:val="24"/>
          <w:szCs w:val="24"/>
        </w:rPr>
        <w:t> Nicolini FE, Kim D-W, Ceglarek B, et al. Impact of prior therapy and suboptimal response to imatinib on the efficacy and safety of nilotinib among 1,422 patients with imatinib-resistant or -</w:t>
      </w:r>
      <w:r w:rsidRPr="009967AA">
        <w:rPr>
          <w:rFonts w:asciiTheme="majorBidi" w:eastAsia="Times New Roman" w:hAnsiTheme="majorBidi" w:cstheme="majorBidi"/>
          <w:color w:val="000000"/>
          <w:sz w:val="24"/>
          <w:szCs w:val="24"/>
        </w:rPr>
        <w:lastRenderedPageBreak/>
        <w:t>intolerant chronic myeloid leukemia (CML) in chronic phase (CP): sub-analyses of the ENACT (Expanding Nilotinib Access In Clinica</w:t>
      </w:r>
      <w:r w:rsidR="00B82B9E" w:rsidRPr="009967AA">
        <w:rPr>
          <w:rFonts w:asciiTheme="majorBidi" w:eastAsia="Times New Roman" w:hAnsiTheme="majorBidi" w:cstheme="majorBidi"/>
          <w:color w:val="000000"/>
          <w:sz w:val="24"/>
          <w:szCs w:val="24"/>
        </w:rPr>
        <w:t>l Trials) study [abstract]</w:t>
      </w:r>
      <w:r w:rsidRPr="009967AA">
        <w:rPr>
          <w:rFonts w:asciiTheme="majorBidi" w:eastAsia="Times New Roman" w:hAnsiTheme="majorBidi" w:cstheme="majorBidi"/>
          <w:color w:val="000000"/>
          <w:sz w:val="24"/>
          <w:szCs w:val="24"/>
        </w:rPr>
        <w:t xml:space="preserve"> (ASH Annual Meeting Abstracts) </w:t>
      </w:r>
      <w:r w:rsidR="00B82B9E" w:rsidRPr="009967AA">
        <w:rPr>
          <w:rFonts w:asciiTheme="majorBidi" w:eastAsia="Times New Roman" w:hAnsiTheme="majorBidi" w:cstheme="majorBidi"/>
          <w:color w:val="000000"/>
          <w:sz w:val="24"/>
          <w:szCs w:val="24"/>
        </w:rPr>
        <w:t xml:space="preserve">Blood </w:t>
      </w:r>
      <w:r w:rsidRPr="009967AA">
        <w:rPr>
          <w:rFonts w:asciiTheme="majorBidi" w:eastAsia="Times New Roman" w:hAnsiTheme="majorBidi" w:cstheme="majorBidi"/>
          <w:color w:val="000000"/>
          <w:sz w:val="24"/>
          <w:szCs w:val="24"/>
        </w:rPr>
        <w:t>2009;114:2201.</w:t>
      </w:r>
    </w:p>
    <w:p w:rsidR="00665F1B" w:rsidRPr="009967AA" w:rsidRDefault="00665F1B"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Style w:val="apple-converted-space"/>
          <w:rFonts w:asciiTheme="majorBidi" w:hAnsiTheme="majorBidi" w:cstheme="majorBidi"/>
          <w:color w:val="000000"/>
          <w:sz w:val="24"/>
          <w:szCs w:val="24"/>
          <w:shd w:val="clear" w:color="auto" w:fill="FFFFFF"/>
        </w:rPr>
        <w:t> </w:t>
      </w:r>
      <w:r w:rsidRPr="009967AA">
        <w:rPr>
          <w:rStyle w:val="element-citation"/>
          <w:rFonts w:asciiTheme="majorBidi" w:hAnsiTheme="majorBidi" w:cstheme="majorBidi"/>
          <w:color w:val="000000"/>
          <w:sz w:val="24"/>
          <w:szCs w:val="24"/>
          <w:shd w:val="clear" w:color="auto" w:fill="FFFFFF"/>
        </w:rPr>
        <w:t>Miller C, Ailawadhi S, Ji</w:t>
      </w:r>
      <w:r w:rsidR="00B82B9E" w:rsidRPr="009967AA">
        <w:rPr>
          <w:rStyle w:val="element-citation"/>
          <w:rFonts w:asciiTheme="majorBidi" w:hAnsiTheme="majorBidi" w:cstheme="majorBidi"/>
          <w:color w:val="000000"/>
          <w:sz w:val="24"/>
          <w:szCs w:val="24"/>
          <w:shd w:val="clear" w:color="auto" w:fill="FFFFFF"/>
        </w:rPr>
        <w:t>llella AP, et al. Patients</w:t>
      </w:r>
      <w:r w:rsidRPr="009967AA">
        <w:rPr>
          <w:rStyle w:val="element-citation"/>
          <w:rFonts w:asciiTheme="majorBidi" w:hAnsiTheme="majorBidi" w:cstheme="majorBidi"/>
          <w:color w:val="000000"/>
          <w:sz w:val="24"/>
          <w:szCs w:val="24"/>
          <w:shd w:val="clear" w:color="auto" w:fill="FFFFFF"/>
        </w:rPr>
        <w:t xml:space="preserve"> with Ph+ chronic myeloid leukemia in chronic phase (CML-CP) with a suboptimal molecular response to imatinib (IM) can achieve deeper responses when switched to nilotinib [abstract]</w:t>
      </w:r>
      <w:r w:rsidRPr="009967AA">
        <w:rPr>
          <w:rStyle w:val="ref-journal"/>
          <w:rFonts w:asciiTheme="majorBidi" w:hAnsiTheme="majorBidi" w:cstheme="majorBidi"/>
          <w:color w:val="000000"/>
          <w:sz w:val="24"/>
          <w:szCs w:val="24"/>
          <w:shd w:val="clear" w:color="auto" w:fill="FFFFFF"/>
        </w:rPr>
        <w:t xml:space="preserve"> (ASH Annual Meeting Abstracts)</w:t>
      </w:r>
      <w:r w:rsidRPr="009967AA">
        <w:rPr>
          <w:rStyle w:val="apple-converted-space"/>
          <w:rFonts w:asciiTheme="majorBidi" w:hAnsiTheme="majorBidi" w:cstheme="majorBidi"/>
          <w:color w:val="000000"/>
          <w:sz w:val="24"/>
          <w:szCs w:val="24"/>
          <w:shd w:val="clear" w:color="auto" w:fill="FFFFFF"/>
        </w:rPr>
        <w:t> </w:t>
      </w:r>
      <w:r w:rsidR="00B82B9E" w:rsidRPr="009967AA">
        <w:rPr>
          <w:rStyle w:val="element-citation"/>
          <w:rFonts w:asciiTheme="majorBidi" w:hAnsiTheme="majorBidi" w:cstheme="majorBidi"/>
          <w:color w:val="000000"/>
          <w:sz w:val="24"/>
          <w:szCs w:val="24"/>
          <w:shd w:val="clear" w:color="auto" w:fill="FFFFFF"/>
        </w:rPr>
        <w:t xml:space="preserve"> Blood </w:t>
      </w:r>
      <w:r w:rsidRPr="009967AA">
        <w:rPr>
          <w:rStyle w:val="element-citation"/>
          <w:rFonts w:asciiTheme="majorBidi" w:hAnsiTheme="majorBidi" w:cstheme="majorBidi"/>
          <w:color w:val="000000"/>
          <w:sz w:val="24"/>
          <w:szCs w:val="24"/>
          <w:shd w:val="clear" w:color="auto" w:fill="FFFFFF"/>
        </w:rPr>
        <w:t>2010;</w:t>
      </w:r>
      <w:r w:rsidRPr="009967AA">
        <w:rPr>
          <w:rStyle w:val="ref-vol"/>
          <w:rFonts w:asciiTheme="majorBidi" w:hAnsiTheme="majorBidi" w:cstheme="majorBidi"/>
          <w:color w:val="000000"/>
          <w:sz w:val="24"/>
          <w:szCs w:val="24"/>
          <w:shd w:val="clear" w:color="auto" w:fill="FFFFFF"/>
        </w:rPr>
        <w:t>116</w:t>
      </w:r>
      <w:r w:rsidRPr="009967AA">
        <w:rPr>
          <w:rStyle w:val="element-citation"/>
          <w:rFonts w:asciiTheme="majorBidi" w:hAnsiTheme="majorBidi" w:cstheme="majorBidi"/>
          <w:color w:val="000000"/>
          <w:sz w:val="24"/>
          <w:szCs w:val="24"/>
          <w:shd w:val="clear" w:color="auto" w:fill="FFFFFF"/>
        </w:rPr>
        <w:t>:2301.</w:t>
      </w:r>
    </w:p>
    <w:p w:rsidR="00E96933" w:rsidRPr="009967AA" w:rsidRDefault="00391C8F" w:rsidP="00344CFF">
      <w:pPr>
        <w:pStyle w:val="a6"/>
        <w:numPr>
          <w:ilvl w:val="0"/>
          <w:numId w:val="13"/>
        </w:numPr>
        <w:bidi w:val="0"/>
        <w:spacing w:after="0" w:line="240" w:lineRule="auto"/>
        <w:ind w:left="0" w:firstLine="0"/>
        <w:jc w:val="both"/>
        <w:rPr>
          <w:rStyle w:val="apple-converted-space"/>
          <w:rFonts w:asciiTheme="majorBidi" w:hAnsiTheme="majorBidi" w:cstheme="majorBidi"/>
          <w:sz w:val="24"/>
          <w:szCs w:val="24"/>
          <w:lang w:bidi="ar-IQ"/>
        </w:rPr>
      </w:pPr>
      <w:r w:rsidRPr="009967AA">
        <w:rPr>
          <w:rStyle w:val="apple-converted-space"/>
          <w:rFonts w:asciiTheme="majorBidi" w:hAnsiTheme="majorBidi" w:cstheme="majorBidi"/>
          <w:color w:val="000000"/>
          <w:sz w:val="24"/>
          <w:szCs w:val="24"/>
          <w:shd w:val="clear" w:color="auto" w:fill="FFFFFF"/>
        </w:rPr>
        <w:t> </w:t>
      </w:r>
      <w:r w:rsidRPr="009967AA">
        <w:rPr>
          <w:rStyle w:val="citation"/>
          <w:rFonts w:asciiTheme="majorBidi" w:hAnsiTheme="majorBidi" w:cstheme="majorBidi"/>
          <w:color w:val="000000"/>
          <w:sz w:val="24"/>
          <w:szCs w:val="24"/>
          <w:shd w:val="clear" w:color="auto" w:fill="FFFFFF"/>
        </w:rPr>
        <w:t>O'Hare T, Walters DK, Stoffregen EP,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In vitro activity of Bcr-Abl inhibitors AMN107 and BMS-354825 against clinically relevant imatinib-resistant Abl kinase domain mutants</w:t>
      </w:r>
      <w:r w:rsidRPr="009967AA">
        <w:rPr>
          <w:rStyle w:val="citation"/>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Cancer Res.</w:t>
      </w:r>
      <w:r w:rsidRPr="009967AA">
        <w:rPr>
          <w:rStyle w:val="apple-converted-space"/>
          <w:rFonts w:asciiTheme="majorBidi" w:hAnsiTheme="majorBidi" w:cstheme="majorBidi"/>
          <w:color w:val="000000"/>
          <w:sz w:val="24"/>
          <w:szCs w:val="24"/>
          <w:shd w:val="clear" w:color="auto" w:fill="FFFFFF"/>
        </w:rPr>
        <w:t> </w:t>
      </w:r>
      <w:r w:rsidRPr="009967AA">
        <w:rPr>
          <w:rStyle w:val="citation"/>
          <w:rFonts w:asciiTheme="majorBidi" w:hAnsiTheme="majorBidi" w:cstheme="majorBidi"/>
          <w:color w:val="000000"/>
          <w:sz w:val="24"/>
          <w:szCs w:val="24"/>
          <w:shd w:val="clear" w:color="auto" w:fill="FFFFFF"/>
        </w:rPr>
        <w:t>2005;</w:t>
      </w:r>
      <w:r w:rsidRPr="009967AA">
        <w:rPr>
          <w:rStyle w:val="ref-vol"/>
          <w:rFonts w:asciiTheme="majorBidi" w:hAnsiTheme="majorBidi" w:cstheme="majorBidi"/>
          <w:color w:val="000000"/>
          <w:sz w:val="24"/>
          <w:szCs w:val="24"/>
          <w:shd w:val="clear" w:color="auto" w:fill="FFFFFF"/>
        </w:rPr>
        <w:t>65</w:t>
      </w:r>
      <w:r w:rsidRPr="009967AA">
        <w:rPr>
          <w:rStyle w:val="citation"/>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11</w:t>
      </w:r>
      <w:r w:rsidRPr="009967AA">
        <w:rPr>
          <w:rStyle w:val="citation"/>
          <w:rFonts w:asciiTheme="majorBidi" w:hAnsiTheme="majorBidi" w:cstheme="majorBidi"/>
          <w:color w:val="000000"/>
          <w:sz w:val="24"/>
          <w:szCs w:val="24"/>
          <w:shd w:val="clear" w:color="auto" w:fill="FFFFFF"/>
        </w:rPr>
        <w:t>):4500-4505</w:t>
      </w:r>
      <w:r w:rsidR="00783C65" w:rsidRPr="009967AA">
        <w:rPr>
          <w:rStyle w:val="apple-converted-space"/>
          <w:rFonts w:asciiTheme="majorBidi" w:hAnsiTheme="majorBidi" w:cstheme="majorBidi"/>
          <w:color w:val="000000"/>
          <w:sz w:val="24"/>
          <w:szCs w:val="24"/>
          <w:shd w:val="clear" w:color="auto" w:fill="FFFFFF"/>
        </w:rPr>
        <w:t>.</w:t>
      </w:r>
    </w:p>
    <w:p w:rsidR="00783C65" w:rsidRPr="009967AA" w:rsidRDefault="00783C65"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Style w:val="apple-converted-space"/>
          <w:rFonts w:asciiTheme="majorBidi" w:hAnsiTheme="majorBidi" w:cstheme="majorBidi"/>
          <w:color w:val="000000"/>
          <w:sz w:val="24"/>
          <w:szCs w:val="24"/>
          <w:shd w:val="clear" w:color="auto" w:fill="FFFFFF"/>
        </w:rPr>
        <w:t> </w:t>
      </w:r>
      <w:r w:rsidRPr="009967AA">
        <w:rPr>
          <w:rStyle w:val="citation"/>
          <w:rFonts w:asciiTheme="majorBidi" w:hAnsiTheme="majorBidi" w:cstheme="majorBidi"/>
          <w:color w:val="000000"/>
          <w:sz w:val="24"/>
          <w:szCs w:val="24"/>
          <w:shd w:val="clear" w:color="auto" w:fill="FFFFFF"/>
        </w:rPr>
        <w:t>Weisberg E, Manley PW, Breitenstein W,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Characterization of AMN107, a selective inhibitor of native and mutant Bcr-Abl</w:t>
      </w:r>
      <w:r w:rsidRPr="009967AA">
        <w:rPr>
          <w:rStyle w:val="citation"/>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Cancer Cell</w:t>
      </w:r>
      <w:r w:rsidRPr="009967AA">
        <w:rPr>
          <w:rStyle w:val="apple-converted-space"/>
          <w:rFonts w:asciiTheme="majorBidi" w:hAnsiTheme="majorBidi" w:cstheme="majorBidi"/>
          <w:color w:val="000000"/>
          <w:sz w:val="24"/>
          <w:szCs w:val="24"/>
          <w:shd w:val="clear" w:color="auto" w:fill="FFFFFF"/>
        </w:rPr>
        <w:t> </w:t>
      </w:r>
      <w:r w:rsidRPr="009967AA">
        <w:rPr>
          <w:rStyle w:val="citation"/>
          <w:rFonts w:asciiTheme="majorBidi" w:hAnsiTheme="majorBidi" w:cstheme="majorBidi"/>
          <w:color w:val="000000"/>
          <w:sz w:val="24"/>
          <w:szCs w:val="24"/>
          <w:shd w:val="clear" w:color="auto" w:fill="FFFFFF"/>
        </w:rPr>
        <w:t>2005;</w:t>
      </w:r>
      <w:r w:rsidRPr="009967AA">
        <w:rPr>
          <w:rStyle w:val="ref-vol"/>
          <w:rFonts w:asciiTheme="majorBidi" w:hAnsiTheme="majorBidi" w:cstheme="majorBidi"/>
          <w:color w:val="000000"/>
          <w:sz w:val="24"/>
          <w:szCs w:val="24"/>
          <w:shd w:val="clear" w:color="auto" w:fill="FFFFFF"/>
        </w:rPr>
        <w:t>7</w:t>
      </w:r>
      <w:r w:rsidRPr="009967AA">
        <w:rPr>
          <w:rStyle w:val="citation"/>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2</w:t>
      </w:r>
      <w:r w:rsidRPr="009967AA">
        <w:rPr>
          <w:rStyle w:val="citation"/>
          <w:rFonts w:asciiTheme="majorBidi" w:hAnsiTheme="majorBidi" w:cstheme="majorBidi"/>
          <w:color w:val="000000"/>
          <w:sz w:val="24"/>
          <w:szCs w:val="24"/>
          <w:shd w:val="clear" w:color="auto" w:fill="FFFFFF"/>
        </w:rPr>
        <w:t>):129-141</w:t>
      </w:r>
      <w:r w:rsidRPr="009967AA">
        <w:rPr>
          <w:rStyle w:val="apple-converted-space"/>
          <w:rFonts w:asciiTheme="majorBidi" w:hAnsiTheme="majorBidi" w:cstheme="majorBidi"/>
          <w:color w:val="000000"/>
          <w:sz w:val="24"/>
          <w:szCs w:val="24"/>
          <w:shd w:val="clear" w:color="auto" w:fill="FFFFFF"/>
        </w:rPr>
        <w:t>.</w:t>
      </w:r>
    </w:p>
    <w:p w:rsidR="0014287C" w:rsidRPr="009967AA" w:rsidRDefault="00B564E8"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Style w:val="citation"/>
          <w:rFonts w:asciiTheme="majorBidi" w:hAnsiTheme="majorBidi" w:cstheme="majorBidi"/>
          <w:color w:val="000000"/>
          <w:sz w:val="24"/>
          <w:szCs w:val="24"/>
          <w:shd w:val="clear" w:color="auto" w:fill="FFFFFF"/>
        </w:rPr>
        <w:t>Kantarjian HM, Hochhaus A, Cortes J,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Nilotinib is highly active and safe in chronic phase chronic myelogenous leukemia (CML-CP) patients with imatinib-resistance or intolerance [abstract 735]</w:t>
      </w:r>
      <w:r w:rsidRPr="009967AA">
        <w:rPr>
          <w:rStyle w:val="citation"/>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Blood</w:t>
      </w:r>
      <w:r w:rsidRPr="009967AA">
        <w:rPr>
          <w:rStyle w:val="citation"/>
          <w:rFonts w:asciiTheme="majorBidi" w:hAnsiTheme="majorBidi" w:cstheme="majorBidi"/>
          <w:color w:val="000000"/>
          <w:sz w:val="24"/>
          <w:szCs w:val="24"/>
          <w:shd w:val="clear" w:color="auto" w:fill="FFFFFF"/>
        </w:rPr>
        <w:t>2007;</w:t>
      </w:r>
      <w:r w:rsidRPr="009967AA">
        <w:rPr>
          <w:rStyle w:val="ref-vol"/>
          <w:rFonts w:asciiTheme="majorBidi" w:hAnsiTheme="majorBidi" w:cstheme="majorBidi"/>
          <w:color w:val="000000"/>
          <w:sz w:val="24"/>
          <w:szCs w:val="24"/>
          <w:shd w:val="clear" w:color="auto" w:fill="FFFFFF"/>
        </w:rPr>
        <w:t>110</w:t>
      </w:r>
      <w:r w:rsidRPr="009967AA">
        <w:rPr>
          <w:rStyle w:val="citation"/>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11, pt 1</w:t>
      </w:r>
      <w:r w:rsidRPr="009967AA">
        <w:rPr>
          <w:rStyle w:val="citation"/>
          <w:rFonts w:asciiTheme="majorBidi" w:hAnsiTheme="majorBidi" w:cstheme="majorBidi"/>
          <w:color w:val="000000"/>
          <w:sz w:val="24"/>
          <w:szCs w:val="24"/>
          <w:shd w:val="clear" w:color="auto" w:fill="FFFFFF"/>
        </w:rPr>
        <w:t>):226a</w:t>
      </w:r>
    </w:p>
    <w:p w:rsidR="005E5B7C" w:rsidRPr="009967AA" w:rsidRDefault="005E5B7C"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color w:val="000000"/>
          <w:sz w:val="24"/>
          <w:szCs w:val="24"/>
          <w:shd w:val="clear" w:color="auto" w:fill="FFFFFF"/>
        </w:rPr>
        <w:t>Giles FJ, Larson RA, Kantarjian HM,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Nilotinib in patients (pts) with Philadelphia chromosome-positive (Ph+) chronic myelogenous leukemia in blast crisis (CML-BC) who are resistant or intolerant to imatinib [abstract 1025]</w:t>
      </w:r>
      <w:r w:rsidRPr="009967AA">
        <w:rPr>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Blood</w:t>
      </w:r>
      <w:r w:rsidRPr="009967AA">
        <w:rPr>
          <w:rStyle w:val="apple-converted-space"/>
          <w:rFonts w:asciiTheme="majorBidi" w:hAnsiTheme="majorBidi" w:cstheme="majorBidi"/>
          <w:color w:val="000000"/>
          <w:sz w:val="24"/>
          <w:szCs w:val="24"/>
          <w:shd w:val="clear" w:color="auto" w:fill="FFFFFF"/>
        </w:rPr>
        <w:t> </w:t>
      </w:r>
      <w:r w:rsidRPr="009967AA">
        <w:rPr>
          <w:rFonts w:asciiTheme="majorBidi" w:hAnsiTheme="majorBidi" w:cstheme="majorBidi"/>
          <w:color w:val="000000"/>
          <w:sz w:val="24"/>
          <w:szCs w:val="24"/>
          <w:shd w:val="clear" w:color="auto" w:fill="FFFFFF"/>
        </w:rPr>
        <w:t>2007;</w:t>
      </w:r>
      <w:r w:rsidRPr="009967AA">
        <w:rPr>
          <w:rStyle w:val="ref-vol"/>
          <w:rFonts w:asciiTheme="majorBidi" w:hAnsiTheme="majorBidi" w:cstheme="majorBidi"/>
          <w:color w:val="000000"/>
          <w:sz w:val="24"/>
          <w:szCs w:val="24"/>
          <w:shd w:val="clear" w:color="auto" w:fill="FFFFFF"/>
        </w:rPr>
        <w:t>110</w:t>
      </w:r>
      <w:r w:rsidRPr="009967AA">
        <w:rPr>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11, pt 1</w:t>
      </w:r>
      <w:r w:rsidRPr="009967AA">
        <w:rPr>
          <w:rFonts w:asciiTheme="majorBidi" w:hAnsiTheme="majorBidi" w:cstheme="majorBidi"/>
          <w:color w:val="000000"/>
          <w:sz w:val="24"/>
          <w:szCs w:val="24"/>
          <w:shd w:val="clear" w:color="auto" w:fill="FFFFFF"/>
        </w:rPr>
        <w:t>):310a</w:t>
      </w:r>
    </w:p>
    <w:p w:rsidR="0057312B" w:rsidRPr="009967AA" w:rsidRDefault="0057312B" w:rsidP="00344CFF">
      <w:pPr>
        <w:pStyle w:val="a6"/>
        <w:numPr>
          <w:ilvl w:val="0"/>
          <w:numId w:val="13"/>
        </w:numPr>
        <w:bidi w:val="0"/>
        <w:spacing w:after="0" w:line="240" w:lineRule="auto"/>
        <w:ind w:left="0" w:firstLine="0"/>
        <w:jc w:val="both"/>
        <w:rPr>
          <w:rStyle w:val="apple-converted-space"/>
          <w:rFonts w:asciiTheme="majorBidi" w:hAnsiTheme="majorBidi" w:cstheme="majorBidi"/>
          <w:sz w:val="24"/>
          <w:szCs w:val="24"/>
          <w:lang w:bidi="ar-IQ"/>
        </w:rPr>
      </w:pPr>
      <w:r w:rsidRPr="009967AA">
        <w:rPr>
          <w:rFonts w:asciiTheme="majorBidi" w:hAnsiTheme="majorBidi" w:cstheme="majorBidi"/>
          <w:color w:val="000000"/>
          <w:sz w:val="24"/>
          <w:szCs w:val="24"/>
          <w:shd w:val="clear" w:color="auto" w:fill="FFFFFF"/>
        </w:rPr>
        <w:t>Kantarjian HM, Giles F, Gattermann N,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Nilotinib (formerly AMN107), a highly selective BCR-ABL tyrosine kinase inhibitor, is effective in patients with Philadelphia chromosome-positive chronic myelogenous leukemia in chronic phase following imatinib resistance and intolerance</w:t>
      </w:r>
      <w:r w:rsidRPr="009967AA">
        <w:rPr>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Blood</w:t>
      </w:r>
      <w:r w:rsidRPr="009967AA">
        <w:rPr>
          <w:rStyle w:val="apple-converted-space"/>
          <w:rFonts w:asciiTheme="majorBidi" w:hAnsiTheme="majorBidi" w:cstheme="majorBidi"/>
          <w:color w:val="000000"/>
          <w:sz w:val="24"/>
          <w:szCs w:val="24"/>
          <w:shd w:val="clear" w:color="auto" w:fill="FFFFFF"/>
        </w:rPr>
        <w:t> </w:t>
      </w:r>
      <w:r w:rsidR="002F4153" w:rsidRPr="009967AA">
        <w:rPr>
          <w:rFonts w:asciiTheme="majorBidi" w:hAnsiTheme="majorBidi" w:cstheme="majorBidi"/>
          <w:color w:val="000000"/>
          <w:sz w:val="24"/>
          <w:szCs w:val="24"/>
          <w:shd w:val="clear" w:color="auto" w:fill="FFFFFF"/>
        </w:rPr>
        <w:t>2007</w:t>
      </w:r>
      <w:r w:rsidRPr="009967AA">
        <w:rPr>
          <w:rFonts w:asciiTheme="majorBidi" w:hAnsiTheme="majorBidi" w:cstheme="majorBidi"/>
          <w:color w:val="000000"/>
          <w:sz w:val="24"/>
          <w:szCs w:val="24"/>
          <w:shd w:val="clear" w:color="auto" w:fill="FFFFFF"/>
        </w:rPr>
        <w:t>;</w:t>
      </w:r>
      <w:r w:rsidRPr="009967AA">
        <w:rPr>
          <w:rStyle w:val="ref-vol"/>
          <w:rFonts w:asciiTheme="majorBidi" w:hAnsiTheme="majorBidi" w:cstheme="majorBidi"/>
          <w:color w:val="000000"/>
          <w:sz w:val="24"/>
          <w:szCs w:val="24"/>
          <w:shd w:val="clear" w:color="auto" w:fill="FFFFFF"/>
        </w:rPr>
        <w:t>110</w:t>
      </w:r>
      <w:r w:rsidRPr="009967AA">
        <w:rPr>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10</w:t>
      </w:r>
      <w:r w:rsidRPr="009967AA">
        <w:rPr>
          <w:rFonts w:asciiTheme="majorBidi" w:hAnsiTheme="majorBidi" w:cstheme="majorBidi"/>
          <w:color w:val="000000"/>
          <w:sz w:val="24"/>
          <w:szCs w:val="24"/>
          <w:shd w:val="clear" w:color="auto" w:fill="FFFFFF"/>
        </w:rPr>
        <w:t>):3540-3546</w:t>
      </w:r>
      <w:r w:rsidR="002F4153" w:rsidRPr="009967AA">
        <w:rPr>
          <w:rFonts w:asciiTheme="majorBidi" w:hAnsiTheme="majorBidi" w:cstheme="majorBidi"/>
          <w:color w:val="000000"/>
          <w:sz w:val="24"/>
          <w:szCs w:val="24"/>
          <w:shd w:val="clear" w:color="auto" w:fill="FFFFFF"/>
        </w:rPr>
        <w:t>.</w:t>
      </w:r>
    </w:p>
    <w:p w:rsidR="007C4086" w:rsidRPr="009967AA" w:rsidRDefault="007C4086"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Style w:val="apple-converted-space"/>
          <w:rFonts w:asciiTheme="majorBidi" w:hAnsiTheme="majorBidi" w:cstheme="majorBidi"/>
          <w:color w:val="000000"/>
          <w:sz w:val="24"/>
          <w:szCs w:val="24"/>
          <w:shd w:val="clear" w:color="auto" w:fill="FFFFFF"/>
        </w:rPr>
        <w:t> </w:t>
      </w:r>
      <w:r w:rsidRPr="009967AA">
        <w:rPr>
          <w:rStyle w:val="citation"/>
          <w:rFonts w:asciiTheme="majorBidi" w:hAnsiTheme="majorBidi" w:cstheme="majorBidi"/>
          <w:color w:val="000000"/>
          <w:sz w:val="24"/>
          <w:szCs w:val="24"/>
          <w:shd w:val="clear" w:color="auto" w:fill="FFFFFF"/>
        </w:rPr>
        <w:t>le Coutre P, Giles FJ, Apperley J,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 xml:space="preserve">Nilotinib is safe and effective in accelerated phase chronic myelogenous </w:t>
      </w:r>
      <w:r w:rsidRPr="009967AA">
        <w:rPr>
          <w:rStyle w:val="ref-title"/>
          <w:rFonts w:asciiTheme="majorBidi" w:hAnsiTheme="majorBidi" w:cstheme="majorBidi"/>
          <w:color w:val="000000"/>
          <w:sz w:val="24"/>
          <w:szCs w:val="24"/>
          <w:shd w:val="clear" w:color="auto" w:fill="FFFFFF"/>
        </w:rPr>
        <w:lastRenderedPageBreak/>
        <w:t>leukemia (CML-AP) patients with imatinib resistance or intolerance [abstract 471]</w:t>
      </w:r>
      <w:r w:rsidRPr="009967AA">
        <w:rPr>
          <w:rStyle w:val="citation"/>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Blood</w:t>
      </w:r>
      <w:r w:rsidRPr="009967AA">
        <w:rPr>
          <w:rStyle w:val="citation"/>
          <w:rFonts w:asciiTheme="majorBidi" w:hAnsiTheme="majorBidi" w:cstheme="majorBidi"/>
          <w:color w:val="000000"/>
          <w:sz w:val="24"/>
          <w:szCs w:val="24"/>
          <w:shd w:val="clear" w:color="auto" w:fill="FFFFFF"/>
        </w:rPr>
        <w:t>2007;</w:t>
      </w:r>
      <w:r w:rsidRPr="009967AA">
        <w:rPr>
          <w:rStyle w:val="ref-vol"/>
          <w:rFonts w:asciiTheme="majorBidi" w:hAnsiTheme="majorBidi" w:cstheme="majorBidi"/>
          <w:color w:val="000000"/>
          <w:sz w:val="24"/>
          <w:szCs w:val="24"/>
          <w:shd w:val="clear" w:color="auto" w:fill="FFFFFF"/>
        </w:rPr>
        <w:t>110</w:t>
      </w:r>
      <w:r w:rsidRPr="009967AA">
        <w:rPr>
          <w:rStyle w:val="citation"/>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11, pt 1</w:t>
      </w:r>
      <w:r w:rsidRPr="009967AA">
        <w:rPr>
          <w:rStyle w:val="citation"/>
          <w:rFonts w:asciiTheme="majorBidi" w:hAnsiTheme="majorBidi" w:cstheme="majorBidi"/>
          <w:color w:val="000000"/>
          <w:sz w:val="24"/>
          <w:szCs w:val="24"/>
          <w:shd w:val="clear" w:color="auto" w:fill="FFFFFF"/>
        </w:rPr>
        <w:t>):145a</w:t>
      </w:r>
    </w:p>
    <w:p w:rsidR="00CD19E3" w:rsidRPr="009967AA" w:rsidRDefault="00CD19E3"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color w:val="000000"/>
          <w:sz w:val="24"/>
          <w:szCs w:val="24"/>
          <w:shd w:val="clear" w:color="auto" w:fill="FFFFFF"/>
        </w:rPr>
        <w:t>Stone RM, Kantarjian HM, Baccarani M,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Efficacy of dasatinib in patients with chronic-phase chronic myelogenous leukemia with resistance or intolerance to imatinib: 2-year follow-up data from START-C (CA180-013) [abstract 734]</w:t>
      </w:r>
      <w:r w:rsidRPr="009967AA">
        <w:rPr>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Blood</w:t>
      </w:r>
      <w:r w:rsidRPr="009967AA">
        <w:rPr>
          <w:rStyle w:val="apple-converted-space"/>
          <w:rFonts w:asciiTheme="majorBidi" w:hAnsiTheme="majorBidi" w:cstheme="majorBidi"/>
          <w:color w:val="000000"/>
          <w:sz w:val="24"/>
          <w:szCs w:val="24"/>
          <w:shd w:val="clear" w:color="auto" w:fill="FFFFFF"/>
        </w:rPr>
        <w:t> </w:t>
      </w:r>
      <w:r w:rsidRPr="009967AA">
        <w:rPr>
          <w:rFonts w:asciiTheme="majorBidi" w:hAnsiTheme="majorBidi" w:cstheme="majorBidi"/>
          <w:color w:val="000000"/>
          <w:sz w:val="24"/>
          <w:szCs w:val="24"/>
          <w:shd w:val="clear" w:color="auto" w:fill="FFFFFF"/>
        </w:rPr>
        <w:t>2007;</w:t>
      </w:r>
      <w:r w:rsidRPr="009967AA">
        <w:rPr>
          <w:rStyle w:val="ref-vol"/>
          <w:rFonts w:asciiTheme="majorBidi" w:hAnsiTheme="majorBidi" w:cstheme="majorBidi"/>
          <w:color w:val="000000"/>
          <w:sz w:val="24"/>
          <w:szCs w:val="24"/>
          <w:shd w:val="clear" w:color="auto" w:fill="FFFFFF"/>
        </w:rPr>
        <w:t>110</w:t>
      </w:r>
      <w:r w:rsidRPr="009967AA">
        <w:rPr>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11, pt 1</w:t>
      </w:r>
      <w:r w:rsidRPr="009967AA">
        <w:rPr>
          <w:rFonts w:asciiTheme="majorBidi" w:hAnsiTheme="majorBidi" w:cstheme="majorBidi"/>
          <w:color w:val="000000"/>
          <w:sz w:val="24"/>
          <w:szCs w:val="24"/>
          <w:shd w:val="clear" w:color="auto" w:fill="FFFFFF"/>
        </w:rPr>
        <w:t>):225a</w:t>
      </w:r>
    </w:p>
    <w:p w:rsidR="00CD19E3" w:rsidRPr="009967AA" w:rsidRDefault="00D03B55"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Style w:val="citation"/>
          <w:rFonts w:asciiTheme="majorBidi" w:hAnsiTheme="majorBidi" w:cstheme="majorBidi"/>
          <w:color w:val="000000"/>
          <w:sz w:val="24"/>
          <w:szCs w:val="24"/>
          <w:shd w:val="clear" w:color="auto" w:fill="FFFFFF"/>
        </w:rPr>
        <w:t>Larson RA, Hochhaus A, Hughes TP, et al. Nilotinib vs</w:t>
      </w:r>
      <w:r w:rsidRPr="009967AA">
        <w:rPr>
          <w:rFonts w:asciiTheme="majorBidi" w:hAnsiTheme="majorBidi" w:cstheme="majorBidi"/>
          <w:sz w:val="24"/>
          <w:szCs w:val="24"/>
          <w:lang w:bidi="ar-IQ"/>
        </w:rPr>
        <w:t>imatinib in patients with newly diagnosed Philadelphia chromosome- positive chronic my</w:t>
      </w:r>
      <w:r w:rsidR="00BB697C">
        <w:rPr>
          <w:rFonts w:asciiTheme="majorBidi" w:hAnsiTheme="majorBidi" w:cstheme="majorBidi"/>
          <w:sz w:val="24"/>
          <w:szCs w:val="24"/>
          <w:lang w:bidi="ar-IQ"/>
        </w:rPr>
        <w:t>eloid leukemia in chronic phase</w:t>
      </w:r>
      <w:r w:rsidRPr="009967AA">
        <w:rPr>
          <w:rFonts w:asciiTheme="majorBidi" w:hAnsiTheme="majorBidi" w:cstheme="majorBidi"/>
          <w:sz w:val="24"/>
          <w:szCs w:val="24"/>
          <w:lang w:bidi="ar-IQ"/>
        </w:rPr>
        <w:t xml:space="preserve">: ENESTnd 3-year follow up. Leukemia 2013; 26 (10): 2197-2203. </w:t>
      </w:r>
    </w:p>
    <w:p w:rsidR="005A5A35" w:rsidRPr="009967AA" w:rsidRDefault="005A5A35"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Style w:val="ref-journal"/>
          <w:rFonts w:asciiTheme="majorBidi" w:hAnsiTheme="majorBidi" w:cstheme="majorBidi"/>
          <w:color w:val="000000"/>
          <w:sz w:val="24"/>
          <w:szCs w:val="24"/>
          <w:shd w:val="clear" w:color="auto" w:fill="FFFFFF"/>
        </w:rPr>
        <w:t>Tasigna (nilotinib) [package insert]</w:t>
      </w:r>
      <w:r w:rsidRPr="009967AA">
        <w:rPr>
          <w:rStyle w:val="apple-converted-space"/>
          <w:rFonts w:asciiTheme="majorBidi" w:hAnsiTheme="majorBidi" w:cstheme="majorBidi"/>
          <w:color w:val="000000"/>
          <w:sz w:val="24"/>
          <w:szCs w:val="24"/>
          <w:shd w:val="clear" w:color="auto" w:fill="FFFFFF"/>
        </w:rPr>
        <w:t> </w:t>
      </w:r>
      <w:r w:rsidRPr="009967AA">
        <w:rPr>
          <w:rFonts w:asciiTheme="majorBidi" w:hAnsiTheme="majorBidi" w:cstheme="majorBidi"/>
          <w:color w:val="000000"/>
          <w:sz w:val="24"/>
          <w:szCs w:val="24"/>
          <w:shd w:val="clear" w:color="auto" w:fill="FFFFFF"/>
        </w:rPr>
        <w:t>East Hanover, NJ: Novartis; 2007.</w:t>
      </w:r>
    </w:p>
    <w:p w:rsidR="00B971F9" w:rsidRPr="009967AA" w:rsidRDefault="00D803C8" w:rsidP="00344CFF">
      <w:pPr>
        <w:pStyle w:val="a6"/>
        <w:numPr>
          <w:ilvl w:val="0"/>
          <w:numId w:val="13"/>
        </w:numPr>
        <w:bidi w:val="0"/>
        <w:spacing w:after="0" w:line="240" w:lineRule="auto"/>
        <w:ind w:left="0" w:firstLine="0"/>
        <w:jc w:val="both"/>
        <w:rPr>
          <w:rFonts w:asciiTheme="majorBidi" w:hAnsiTheme="majorBidi" w:cstheme="majorBidi"/>
          <w:sz w:val="24"/>
          <w:szCs w:val="24"/>
          <w:lang w:bidi="ar-IQ"/>
        </w:rPr>
      </w:pPr>
      <w:r w:rsidRPr="009967AA">
        <w:rPr>
          <w:rFonts w:asciiTheme="majorBidi" w:hAnsiTheme="majorBidi" w:cstheme="majorBidi"/>
          <w:sz w:val="24"/>
          <w:szCs w:val="24"/>
          <w:lang w:bidi="ar-IQ"/>
        </w:rPr>
        <w:t>Kantarjian HM, Sawyers CL, Honchhaus A, Guilhot F, Schiffer C, Gambacorti-Passerini C, et al.Hematologic and cytogenetic response to imatinibmesylate in chronic myelogenous leukemia.N Engel J Med 2002;346(24):645-52.</w:t>
      </w:r>
    </w:p>
    <w:p w:rsidR="00A807B6" w:rsidRPr="009967AA" w:rsidRDefault="009809AE" w:rsidP="00344CFF">
      <w:pPr>
        <w:pStyle w:val="a6"/>
        <w:numPr>
          <w:ilvl w:val="0"/>
          <w:numId w:val="13"/>
        </w:numPr>
        <w:bidi w:val="0"/>
        <w:spacing w:after="0" w:line="240" w:lineRule="auto"/>
        <w:ind w:left="0" w:firstLine="0"/>
        <w:jc w:val="both"/>
        <w:rPr>
          <w:rStyle w:val="nowrap"/>
          <w:rFonts w:asciiTheme="majorBidi" w:hAnsiTheme="majorBidi" w:cstheme="majorBidi"/>
          <w:sz w:val="24"/>
          <w:szCs w:val="24"/>
          <w:lang w:bidi="ar-IQ"/>
        </w:rPr>
      </w:pPr>
      <w:r w:rsidRPr="009967AA">
        <w:rPr>
          <w:rStyle w:val="apple-converted-space"/>
          <w:rFonts w:asciiTheme="majorBidi" w:hAnsiTheme="majorBidi" w:cstheme="majorBidi"/>
          <w:color w:val="000000"/>
          <w:sz w:val="24"/>
          <w:szCs w:val="24"/>
          <w:shd w:val="clear" w:color="auto" w:fill="FFFFFF"/>
        </w:rPr>
        <w:t> </w:t>
      </w:r>
      <w:r w:rsidRPr="009967AA">
        <w:rPr>
          <w:rStyle w:val="citation"/>
          <w:rFonts w:asciiTheme="majorBidi" w:hAnsiTheme="majorBidi" w:cstheme="majorBidi"/>
          <w:color w:val="000000"/>
          <w:sz w:val="24"/>
          <w:szCs w:val="24"/>
          <w:shd w:val="clear" w:color="auto" w:fill="FFFFFF"/>
        </w:rPr>
        <w:t>Shah NP, Kantarjian HM, Kim DW, et al.</w:t>
      </w:r>
      <w:r w:rsidRPr="009967AA">
        <w:rPr>
          <w:rStyle w:val="apple-converted-space"/>
          <w:rFonts w:asciiTheme="majorBidi" w:hAnsiTheme="majorBidi" w:cstheme="majorBidi"/>
          <w:color w:val="000000"/>
          <w:sz w:val="24"/>
          <w:szCs w:val="24"/>
          <w:shd w:val="clear" w:color="auto" w:fill="FFFFFF"/>
        </w:rPr>
        <w:t> </w:t>
      </w:r>
      <w:r w:rsidRPr="009967AA">
        <w:rPr>
          <w:rStyle w:val="ref-title"/>
          <w:rFonts w:asciiTheme="majorBidi" w:hAnsiTheme="majorBidi" w:cstheme="majorBidi"/>
          <w:color w:val="000000"/>
          <w:sz w:val="24"/>
          <w:szCs w:val="24"/>
          <w:shd w:val="clear" w:color="auto" w:fill="FFFFFF"/>
        </w:rPr>
        <w:t>Intermittent target inhibition with dasatinib 100 mg once daily preserves efficacy and improves tolerability in imatinib-resistant and -intolerant chronic-phase chronic myeloid leukemia</w:t>
      </w:r>
      <w:r w:rsidRPr="009967AA">
        <w:rPr>
          <w:rStyle w:val="citation"/>
          <w:rFonts w:asciiTheme="majorBidi" w:hAnsiTheme="majorBidi" w:cstheme="majorBidi"/>
          <w:color w:val="000000"/>
          <w:sz w:val="24"/>
          <w:szCs w:val="24"/>
          <w:shd w:val="clear" w:color="auto" w:fill="FFFFFF"/>
        </w:rPr>
        <w:t>.</w:t>
      </w:r>
      <w:r w:rsidRPr="009967AA">
        <w:rPr>
          <w:rStyle w:val="apple-converted-space"/>
          <w:rFonts w:asciiTheme="majorBidi" w:hAnsiTheme="majorBidi" w:cstheme="majorBidi"/>
          <w:color w:val="000000"/>
          <w:sz w:val="24"/>
          <w:szCs w:val="24"/>
          <w:shd w:val="clear" w:color="auto" w:fill="FFFFFF"/>
        </w:rPr>
        <w:t> </w:t>
      </w:r>
      <w:r w:rsidRPr="009967AA">
        <w:rPr>
          <w:rStyle w:val="a7"/>
          <w:rFonts w:asciiTheme="majorBidi" w:hAnsiTheme="majorBidi" w:cstheme="majorBidi"/>
          <w:color w:val="000000"/>
          <w:sz w:val="24"/>
          <w:szCs w:val="24"/>
          <w:shd w:val="clear" w:color="auto" w:fill="FFFFFF"/>
        </w:rPr>
        <w:t>J ClinOncol.</w:t>
      </w:r>
      <w:r w:rsidRPr="009967AA">
        <w:rPr>
          <w:rStyle w:val="apple-converted-space"/>
          <w:rFonts w:asciiTheme="majorBidi" w:hAnsiTheme="majorBidi" w:cstheme="majorBidi"/>
          <w:color w:val="000000"/>
          <w:sz w:val="24"/>
          <w:szCs w:val="24"/>
          <w:shd w:val="clear" w:color="auto" w:fill="FFFFFF"/>
        </w:rPr>
        <w:t> </w:t>
      </w:r>
      <w:r w:rsidR="00C723D9" w:rsidRPr="009967AA">
        <w:rPr>
          <w:rStyle w:val="citation"/>
          <w:rFonts w:asciiTheme="majorBidi" w:hAnsiTheme="majorBidi" w:cstheme="majorBidi"/>
          <w:color w:val="000000"/>
          <w:sz w:val="24"/>
          <w:szCs w:val="24"/>
          <w:shd w:val="clear" w:color="auto" w:fill="FFFFFF"/>
        </w:rPr>
        <w:t>2008</w:t>
      </w:r>
      <w:r w:rsidRPr="009967AA">
        <w:rPr>
          <w:rStyle w:val="citation"/>
          <w:rFonts w:asciiTheme="majorBidi" w:hAnsiTheme="majorBidi" w:cstheme="majorBidi"/>
          <w:color w:val="000000"/>
          <w:sz w:val="24"/>
          <w:szCs w:val="24"/>
          <w:shd w:val="clear" w:color="auto" w:fill="FFFFFF"/>
        </w:rPr>
        <w:t>;</w:t>
      </w:r>
      <w:r w:rsidRPr="009967AA">
        <w:rPr>
          <w:rStyle w:val="ref-vol"/>
          <w:rFonts w:asciiTheme="majorBidi" w:hAnsiTheme="majorBidi" w:cstheme="majorBidi"/>
          <w:color w:val="000000"/>
          <w:sz w:val="24"/>
          <w:szCs w:val="24"/>
          <w:shd w:val="clear" w:color="auto" w:fill="FFFFFF"/>
        </w:rPr>
        <w:t>26</w:t>
      </w:r>
      <w:r w:rsidRPr="009967AA">
        <w:rPr>
          <w:rStyle w:val="citation"/>
          <w:rFonts w:asciiTheme="majorBidi" w:hAnsiTheme="majorBidi" w:cstheme="majorBidi"/>
          <w:color w:val="000000"/>
          <w:sz w:val="24"/>
          <w:szCs w:val="24"/>
          <w:shd w:val="clear" w:color="auto" w:fill="FFFFFF"/>
        </w:rPr>
        <w:t>(</w:t>
      </w:r>
      <w:r w:rsidRPr="009967AA">
        <w:rPr>
          <w:rStyle w:val="ref-iss"/>
          <w:rFonts w:asciiTheme="majorBidi" w:hAnsiTheme="majorBidi" w:cstheme="majorBidi"/>
          <w:color w:val="000000"/>
          <w:sz w:val="24"/>
          <w:szCs w:val="24"/>
          <w:shd w:val="clear" w:color="auto" w:fill="FFFFFF"/>
        </w:rPr>
        <w:t>19</w:t>
      </w:r>
      <w:r w:rsidRPr="009967AA">
        <w:rPr>
          <w:rStyle w:val="citation"/>
          <w:rFonts w:asciiTheme="majorBidi" w:hAnsiTheme="majorBidi" w:cstheme="majorBidi"/>
          <w:color w:val="000000"/>
          <w:sz w:val="24"/>
          <w:szCs w:val="24"/>
          <w:shd w:val="clear" w:color="auto" w:fill="FFFFFF"/>
        </w:rPr>
        <w:t>):3204-3212</w:t>
      </w:r>
      <w:r w:rsidR="00C723D9" w:rsidRPr="009967AA">
        <w:rPr>
          <w:rStyle w:val="citation"/>
          <w:rFonts w:asciiTheme="majorBidi" w:hAnsiTheme="majorBidi" w:cstheme="majorBidi"/>
          <w:color w:val="000000"/>
          <w:sz w:val="24"/>
          <w:szCs w:val="24"/>
          <w:shd w:val="clear" w:color="auto" w:fill="FFFFFF"/>
        </w:rPr>
        <w:t>.</w:t>
      </w:r>
    </w:p>
    <w:p w:rsidR="00033BF8" w:rsidRPr="00344CFF" w:rsidRDefault="003F5F2C" w:rsidP="00344CFF">
      <w:pPr>
        <w:numPr>
          <w:ilvl w:val="0"/>
          <w:numId w:val="13"/>
        </w:numPr>
        <w:shd w:val="clear" w:color="auto" w:fill="FFFFFF"/>
        <w:bidi w:val="0"/>
        <w:spacing w:after="0" w:line="240" w:lineRule="auto"/>
        <w:ind w:left="0" w:firstLine="0"/>
        <w:jc w:val="both"/>
        <w:textAlignment w:val="baseline"/>
        <w:rPr>
          <w:rFonts w:asciiTheme="majorBidi" w:hAnsiTheme="majorBidi" w:cstheme="majorBidi"/>
          <w:color w:val="000000" w:themeColor="text1"/>
          <w:sz w:val="24"/>
          <w:szCs w:val="24"/>
        </w:rPr>
      </w:pPr>
      <w:r w:rsidRPr="00344CFF">
        <w:rPr>
          <w:rStyle w:val="cit-name-surname"/>
          <w:rFonts w:asciiTheme="majorBidi" w:hAnsiTheme="majorBidi" w:cstheme="majorBidi"/>
          <w:color w:val="000000" w:themeColor="text1"/>
          <w:sz w:val="24"/>
          <w:szCs w:val="24"/>
          <w:bdr w:val="none" w:sz="0" w:space="0" w:color="auto" w:frame="1"/>
        </w:rPr>
        <w:t>Kantarlian HM, Giles F, Gattermann N, et al. Nilotinib a highly selective BCR-ABL tyrosine kinase inhibitor, is effective in patients with Philadelphia chromosome- positive chronic myeloid leukemia in chronic phase following imatinib resistance and intolerance. Blood 2007; 110(10): 3540-3546.</w:t>
      </w:r>
    </w:p>
    <w:p w:rsidR="00033BF8" w:rsidRPr="00344CFF" w:rsidRDefault="00033BF8" w:rsidP="00344CFF">
      <w:pPr>
        <w:pStyle w:val="1"/>
        <w:shd w:val="clear" w:color="auto" w:fill="FFFFFF"/>
        <w:spacing w:before="0" w:beforeAutospacing="0" w:after="0" w:afterAutospacing="0"/>
        <w:jc w:val="both"/>
        <w:textAlignment w:val="baseline"/>
        <w:rPr>
          <w:rFonts w:asciiTheme="majorBidi" w:hAnsiTheme="majorBidi" w:cstheme="majorBidi"/>
          <w:b w:val="0"/>
          <w:bCs w:val="0"/>
          <w:color w:val="000000" w:themeColor="text1"/>
          <w:spacing w:val="-7"/>
          <w:sz w:val="24"/>
          <w:szCs w:val="24"/>
        </w:rPr>
      </w:pPr>
      <w:r w:rsidRPr="00344CFF">
        <w:rPr>
          <w:rFonts w:asciiTheme="majorBidi" w:hAnsiTheme="majorBidi" w:cstheme="majorBidi"/>
          <w:b w:val="0"/>
          <w:bCs w:val="0"/>
          <w:color w:val="000000" w:themeColor="text1"/>
          <w:sz w:val="24"/>
          <w:szCs w:val="24"/>
          <w:lang w:bidi="ar-IQ"/>
        </w:rPr>
        <w:t>30</w:t>
      </w:r>
      <w:r w:rsidRPr="00344CFF">
        <w:rPr>
          <w:rFonts w:asciiTheme="majorBidi" w:hAnsiTheme="majorBidi" w:cstheme="majorBidi"/>
          <w:color w:val="000000" w:themeColor="text1"/>
          <w:sz w:val="24"/>
          <w:szCs w:val="24"/>
          <w:lang w:bidi="ar-IQ"/>
        </w:rPr>
        <w:t xml:space="preserve">. </w:t>
      </w:r>
      <w:r w:rsidRPr="00344CFF">
        <w:rPr>
          <w:rStyle w:val="name"/>
          <w:rFonts w:asciiTheme="majorBidi" w:hAnsiTheme="majorBidi" w:cstheme="majorBidi"/>
          <w:b w:val="0"/>
          <w:bCs w:val="0"/>
          <w:color w:val="000000" w:themeColor="text1"/>
          <w:sz w:val="24"/>
          <w:szCs w:val="24"/>
          <w:bdr w:val="none" w:sz="0" w:space="0" w:color="auto" w:frame="1"/>
        </w:rPr>
        <w:t>Timothy P. Hughes</w:t>
      </w:r>
      <w:r w:rsidRPr="00344CFF">
        <w:rPr>
          <w:rFonts w:asciiTheme="majorBidi" w:hAnsiTheme="majorBidi" w:cstheme="majorBidi"/>
          <w:b w:val="0"/>
          <w:bCs w:val="0"/>
          <w:color w:val="000000" w:themeColor="text1"/>
          <w:sz w:val="24"/>
          <w:szCs w:val="24"/>
          <w:bdr w:val="none" w:sz="0" w:space="0" w:color="auto" w:frame="1"/>
        </w:rPr>
        <w:t>,</w:t>
      </w:r>
      <w:r w:rsidRPr="00344CFF">
        <w:rPr>
          <w:rStyle w:val="apple-converted-space"/>
          <w:rFonts w:asciiTheme="majorBidi" w:hAnsiTheme="majorBidi" w:cstheme="majorBidi"/>
          <w:b w:val="0"/>
          <w:bCs w:val="0"/>
          <w:color w:val="000000" w:themeColor="text1"/>
          <w:sz w:val="24"/>
          <w:szCs w:val="24"/>
        </w:rPr>
        <w:t> </w:t>
      </w:r>
      <w:r w:rsidRPr="00344CFF">
        <w:rPr>
          <w:rStyle w:val="name"/>
          <w:rFonts w:asciiTheme="majorBidi" w:hAnsiTheme="majorBidi" w:cstheme="majorBidi"/>
          <w:b w:val="0"/>
          <w:bCs w:val="0"/>
          <w:color w:val="000000" w:themeColor="text1"/>
          <w:sz w:val="24"/>
          <w:szCs w:val="24"/>
          <w:bdr w:val="none" w:sz="0" w:space="0" w:color="auto" w:frame="1"/>
        </w:rPr>
        <w:t>Jeffrey H. Lipton</w:t>
      </w:r>
      <w:r w:rsidRPr="00344CFF">
        <w:rPr>
          <w:rFonts w:asciiTheme="majorBidi" w:hAnsiTheme="majorBidi" w:cstheme="majorBidi"/>
          <w:b w:val="0"/>
          <w:bCs w:val="0"/>
          <w:color w:val="000000" w:themeColor="text1"/>
          <w:sz w:val="24"/>
          <w:szCs w:val="24"/>
        </w:rPr>
        <w:t>,</w:t>
      </w:r>
      <w:r w:rsidRPr="00344CFF">
        <w:rPr>
          <w:rStyle w:val="apple-converted-space"/>
          <w:rFonts w:asciiTheme="majorBidi" w:hAnsiTheme="majorBidi" w:cstheme="majorBidi"/>
          <w:b w:val="0"/>
          <w:bCs w:val="0"/>
          <w:color w:val="000000" w:themeColor="text1"/>
          <w:sz w:val="24"/>
          <w:szCs w:val="24"/>
        </w:rPr>
        <w:t> </w:t>
      </w:r>
      <w:r w:rsidR="004264F5">
        <w:rPr>
          <w:rStyle w:val="name"/>
          <w:rFonts w:asciiTheme="majorBidi" w:hAnsiTheme="majorBidi" w:cstheme="majorBidi"/>
          <w:b w:val="0"/>
          <w:bCs w:val="0"/>
          <w:color w:val="000000" w:themeColor="text1"/>
          <w:sz w:val="24"/>
          <w:szCs w:val="24"/>
          <w:bdr w:val="none" w:sz="0" w:space="0" w:color="auto" w:frame="1"/>
        </w:rPr>
        <w:t>Nelson</w:t>
      </w:r>
      <w:r w:rsidRPr="00344CFF">
        <w:rPr>
          <w:rStyle w:val="name"/>
          <w:rFonts w:asciiTheme="majorBidi" w:hAnsiTheme="majorBidi" w:cstheme="majorBidi"/>
          <w:b w:val="0"/>
          <w:bCs w:val="0"/>
          <w:color w:val="000000" w:themeColor="text1"/>
          <w:sz w:val="24"/>
          <w:szCs w:val="24"/>
          <w:bdr w:val="none" w:sz="0" w:space="0" w:color="auto" w:frame="1"/>
        </w:rPr>
        <w:t>Spector</w:t>
      </w:r>
      <w:r w:rsidRPr="00344CFF">
        <w:rPr>
          <w:rFonts w:asciiTheme="majorBidi" w:hAnsiTheme="majorBidi" w:cstheme="majorBidi"/>
          <w:b w:val="0"/>
          <w:bCs w:val="0"/>
          <w:color w:val="000000" w:themeColor="text1"/>
          <w:sz w:val="24"/>
          <w:szCs w:val="24"/>
        </w:rPr>
        <w:t>,</w:t>
      </w:r>
      <w:r w:rsidRPr="00344CFF">
        <w:rPr>
          <w:rStyle w:val="apple-converted-space"/>
          <w:rFonts w:asciiTheme="majorBidi" w:hAnsiTheme="majorBidi" w:cstheme="majorBidi"/>
          <w:b w:val="0"/>
          <w:bCs w:val="0"/>
          <w:color w:val="000000" w:themeColor="text1"/>
          <w:sz w:val="24"/>
          <w:szCs w:val="24"/>
        </w:rPr>
        <w:t> </w:t>
      </w:r>
      <w:r w:rsidR="004264F5">
        <w:rPr>
          <w:rStyle w:val="name"/>
          <w:rFonts w:asciiTheme="majorBidi" w:hAnsiTheme="majorBidi" w:cstheme="majorBidi"/>
          <w:b w:val="0"/>
          <w:bCs w:val="0"/>
          <w:color w:val="000000" w:themeColor="text1"/>
          <w:sz w:val="24"/>
          <w:szCs w:val="24"/>
          <w:bdr w:val="none" w:sz="0" w:space="0" w:color="auto" w:frame="1"/>
        </w:rPr>
        <w:t>FranciscoCervante</w:t>
      </w:r>
      <w:r w:rsidRPr="00344CFF">
        <w:rPr>
          <w:rFonts w:asciiTheme="majorBidi" w:hAnsiTheme="majorBidi" w:cstheme="majorBidi"/>
          <w:b w:val="0"/>
          <w:bCs w:val="0"/>
          <w:color w:val="000000" w:themeColor="text1"/>
          <w:sz w:val="24"/>
          <w:szCs w:val="24"/>
        </w:rPr>
        <w:t>,</w:t>
      </w:r>
      <w:r w:rsidR="004264F5">
        <w:rPr>
          <w:rStyle w:val="name"/>
          <w:rFonts w:asciiTheme="majorBidi" w:hAnsiTheme="majorBidi" w:cstheme="majorBidi"/>
          <w:b w:val="0"/>
          <w:bCs w:val="0"/>
          <w:color w:val="000000" w:themeColor="text1"/>
          <w:sz w:val="24"/>
          <w:szCs w:val="24"/>
          <w:bdr w:val="none" w:sz="0" w:space="0" w:color="auto" w:frame="1"/>
        </w:rPr>
        <w:t>Ricardo</w:t>
      </w:r>
      <w:r w:rsidRPr="00344CFF">
        <w:rPr>
          <w:rStyle w:val="name"/>
          <w:rFonts w:asciiTheme="majorBidi" w:hAnsiTheme="majorBidi" w:cstheme="majorBidi"/>
          <w:b w:val="0"/>
          <w:bCs w:val="0"/>
          <w:color w:val="000000" w:themeColor="text1"/>
          <w:sz w:val="24"/>
          <w:szCs w:val="24"/>
          <w:bdr w:val="none" w:sz="0" w:space="0" w:color="auto" w:frame="1"/>
        </w:rPr>
        <w:t>Pasquini</w:t>
      </w:r>
      <w:r w:rsidRPr="00344CFF">
        <w:rPr>
          <w:rFonts w:asciiTheme="majorBidi" w:hAnsiTheme="majorBidi" w:cstheme="majorBidi"/>
          <w:b w:val="0"/>
          <w:bCs w:val="0"/>
          <w:color w:val="000000" w:themeColor="text1"/>
          <w:sz w:val="24"/>
          <w:szCs w:val="24"/>
        </w:rPr>
        <w:t>,</w:t>
      </w:r>
      <w:r w:rsidRPr="00344CFF">
        <w:rPr>
          <w:rStyle w:val="apple-converted-space"/>
          <w:rFonts w:asciiTheme="majorBidi" w:hAnsiTheme="majorBidi" w:cstheme="majorBidi"/>
          <w:b w:val="0"/>
          <w:bCs w:val="0"/>
          <w:color w:val="000000" w:themeColor="text1"/>
          <w:sz w:val="24"/>
          <w:szCs w:val="24"/>
        </w:rPr>
        <w:t> </w:t>
      </w:r>
      <w:r w:rsidR="00BB697C">
        <w:rPr>
          <w:rStyle w:val="name"/>
          <w:rFonts w:asciiTheme="majorBidi" w:hAnsiTheme="majorBidi" w:cstheme="majorBidi"/>
          <w:b w:val="0"/>
          <w:bCs w:val="0"/>
          <w:color w:val="000000" w:themeColor="text1"/>
          <w:sz w:val="24"/>
          <w:szCs w:val="24"/>
          <w:bdr w:val="none" w:sz="0" w:space="0" w:color="auto" w:frame="1"/>
        </w:rPr>
        <w:t>Nelma</w:t>
      </w:r>
      <w:r w:rsidRPr="00344CFF">
        <w:rPr>
          <w:rStyle w:val="name"/>
          <w:rFonts w:asciiTheme="majorBidi" w:hAnsiTheme="majorBidi" w:cstheme="majorBidi"/>
          <w:b w:val="0"/>
          <w:bCs w:val="0"/>
          <w:color w:val="000000" w:themeColor="text1"/>
          <w:sz w:val="24"/>
          <w:szCs w:val="24"/>
          <w:bdr w:val="none" w:sz="0" w:space="0" w:color="auto" w:frame="1"/>
        </w:rPr>
        <w:t>Cristina D. Clementino</w:t>
      </w:r>
      <w:r w:rsidRPr="00344CFF">
        <w:rPr>
          <w:rFonts w:asciiTheme="majorBidi" w:hAnsiTheme="majorBidi" w:cstheme="majorBidi"/>
          <w:b w:val="0"/>
          <w:bCs w:val="0"/>
          <w:color w:val="000000" w:themeColor="text1"/>
          <w:sz w:val="24"/>
          <w:szCs w:val="24"/>
        </w:rPr>
        <w:t>,</w:t>
      </w:r>
      <w:r w:rsidRPr="00344CFF">
        <w:rPr>
          <w:rStyle w:val="apple-converted-space"/>
          <w:rFonts w:asciiTheme="majorBidi" w:hAnsiTheme="majorBidi" w:cstheme="majorBidi"/>
          <w:b w:val="0"/>
          <w:bCs w:val="0"/>
          <w:color w:val="000000" w:themeColor="text1"/>
          <w:sz w:val="24"/>
          <w:szCs w:val="24"/>
        </w:rPr>
        <w:t> </w:t>
      </w:r>
      <w:r w:rsidRPr="00344CFF">
        <w:rPr>
          <w:rStyle w:val="name"/>
          <w:rFonts w:asciiTheme="majorBidi" w:hAnsiTheme="majorBidi" w:cstheme="majorBidi"/>
          <w:b w:val="0"/>
          <w:bCs w:val="0"/>
          <w:color w:val="000000" w:themeColor="text1"/>
          <w:sz w:val="24"/>
          <w:szCs w:val="24"/>
          <w:bdr w:val="none" w:sz="0" w:space="0" w:color="auto" w:frame="1"/>
        </w:rPr>
        <w:t>Pedro Enrique DorlhiacLlacer</w:t>
      </w:r>
      <w:r w:rsidRPr="00344CFF">
        <w:rPr>
          <w:rFonts w:asciiTheme="majorBidi" w:hAnsiTheme="majorBidi" w:cstheme="majorBidi"/>
          <w:b w:val="0"/>
          <w:bCs w:val="0"/>
          <w:color w:val="000000" w:themeColor="text1"/>
          <w:sz w:val="24"/>
          <w:szCs w:val="24"/>
          <w:bdr w:val="none" w:sz="0" w:space="0" w:color="auto" w:frame="1"/>
        </w:rPr>
        <w:t>,</w:t>
      </w:r>
      <w:r w:rsidR="00AC7C94" w:rsidRPr="00344CFF">
        <w:rPr>
          <w:rFonts w:asciiTheme="majorBidi" w:hAnsiTheme="majorBidi" w:cstheme="majorBidi"/>
          <w:b w:val="0"/>
          <w:bCs w:val="0"/>
          <w:color w:val="000000" w:themeColor="text1"/>
          <w:sz w:val="24"/>
          <w:szCs w:val="24"/>
        </w:rPr>
        <w:t xml:space="preserve"> et al</w:t>
      </w:r>
      <w:r w:rsidRPr="00344CFF">
        <w:rPr>
          <w:rFonts w:asciiTheme="majorBidi" w:hAnsiTheme="majorBidi" w:cstheme="majorBidi"/>
          <w:b w:val="0"/>
          <w:bCs w:val="0"/>
          <w:color w:val="000000" w:themeColor="text1"/>
          <w:sz w:val="24"/>
          <w:szCs w:val="24"/>
        </w:rPr>
        <w:t>.</w:t>
      </w:r>
      <w:r w:rsidRPr="00344CFF">
        <w:rPr>
          <w:rFonts w:asciiTheme="majorBidi" w:hAnsiTheme="majorBidi" w:cstheme="majorBidi"/>
          <w:b w:val="0"/>
          <w:bCs w:val="0"/>
          <w:color w:val="000000" w:themeColor="text1"/>
          <w:spacing w:val="-7"/>
          <w:sz w:val="24"/>
          <w:szCs w:val="24"/>
        </w:rPr>
        <w:t xml:space="preserve"> Deep molecular responses achieved in patients with CML-CP who are switched to nilotinib after long-term imatinib. Blood </w:t>
      </w:r>
      <w:r w:rsidR="003F6216" w:rsidRPr="00344CFF">
        <w:rPr>
          <w:rFonts w:asciiTheme="majorBidi" w:hAnsiTheme="majorBidi" w:cstheme="majorBidi"/>
          <w:b w:val="0"/>
          <w:bCs w:val="0"/>
          <w:color w:val="000000" w:themeColor="text1"/>
          <w:spacing w:val="-7"/>
          <w:sz w:val="24"/>
          <w:szCs w:val="24"/>
        </w:rPr>
        <w:t xml:space="preserve"> 2014;</w:t>
      </w:r>
      <w:r w:rsidR="00FB60BF" w:rsidRPr="00344CFF">
        <w:rPr>
          <w:rFonts w:asciiTheme="majorBidi" w:hAnsiTheme="majorBidi" w:cstheme="majorBidi"/>
          <w:b w:val="0"/>
          <w:bCs w:val="0"/>
          <w:color w:val="000000" w:themeColor="text1"/>
          <w:spacing w:val="-7"/>
          <w:sz w:val="24"/>
          <w:szCs w:val="24"/>
        </w:rPr>
        <w:t>124(5)</w:t>
      </w:r>
      <w:r w:rsidR="00812058" w:rsidRPr="00344CFF">
        <w:rPr>
          <w:rFonts w:asciiTheme="majorBidi" w:hAnsiTheme="majorBidi" w:cstheme="majorBidi"/>
          <w:b w:val="0"/>
          <w:bCs w:val="0"/>
          <w:color w:val="000000" w:themeColor="text1"/>
          <w:spacing w:val="-7"/>
          <w:sz w:val="24"/>
          <w:szCs w:val="24"/>
        </w:rPr>
        <w:t xml:space="preserve"> : 729-736</w:t>
      </w:r>
      <w:r w:rsidRPr="00344CFF">
        <w:rPr>
          <w:rFonts w:asciiTheme="majorBidi" w:hAnsiTheme="majorBidi" w:cstheme="majorBidi"/>
          <w:b w:val="0"/>
          <w:bCs w:val="0"/>
          <w:color w:val="000000" w:themeColor="text1"/>
          <w:spacing w:val="-7"/>
          <w:sz w:val="24"/>
          <w:szCs w:val="24"/>
        </w:rPr>
        <w:t>.</w:t>
      </w:r>
    </w:p>
    <w:p w:rsidR="003B6F7E" w:rsidRDefault="003B6F7E" w:rsidP="003B6F7E">
      <w:pPr>
        <w:shd w:val="clear" w:color="auto" w:fill="FFFFFF"/>
        <w:bidi w:val="0"/>
        <w:spacing w:after="0" w:line="240" w:lineRule="auto"/>
        <w:jc w:val="both"/>
        <w:textAlignment w:val="baseline"/>
        <w:rPr>
          <w:rFonts w:asciiTheme="majorBidi" w:hAnsiTheme="majorBidi" w:cstheme="majorBidi"/>
          <w:color w:val="4F4F4F"/>
          <w:sz w:val="24"/>
          <w:szCs w:val="24"/>
        </w:rPr>
        <w:sectPr w:rsidR="003B6F7E" w:rsidSect="003B6F7E">
          <w:type w:val="continuous"/>
          <w:pgSz w:w="11906" w:h="16838"/>
          <w:pgMar w:top="818" w:right="1376" w:bottom="1440" w:left="1350" w:header="708" w:footer="708" w:gutter="0"/>
          <w:cols w:num="2" w:space="708"/>
          <w:docGrid w:linePitch="360"/>
        </w:sectPr>
      </w:pPr>
    </w:p>
    <w:p w:rsidR="00033BF8" w:rsidRPr="009967AA" w:rsidRDefault="00033BF8" w:rsidP="003B6F7E">
      <w:pPr>
        <w:shd w:val="clear" w:color="auto" w:fill="FFFFFF"/>
        <w:bidi w:val="0"/>
        <w:spacing w:after="0" w:line="240" w:lineRule="auto"/>
        <w:jc w:val="both"/>
        <w:textAlignment w:val="baseline"/>
        <w:rPr>
          <w:rFonts w:asciiTheme="majorBidi" w:hAnsiTheme="majorBidi" w:cstheme="majorBidi"/>
          <w:color w:val="4F4F4F"/>
          <w:sz w:val="24"/>
          <w:szCs w:val="24"/>
        </w:rPr>
      </w:pPr>
    </w:p>
    <w:sectPr w:rsidR="00033BF8" w:rsidRPr="009967AA" w:rsidSect="001F4A25">
      <w:type w:val="continuous"/>
      <w:pgSz w:w="11906" w:h="16838"/>
      <w:pgMar w:top="818" w:right="1376" w:bottom="144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62A" w:rsidRDefault="000A462A" w:rsidP="00462312">
      <w:pPr>
        <w:spacing w:after="0" w:line="240" w:lineRule="auto"/>
      </w:pPr>
      <w:r>
        <w:separator/>
      </w:r>
    </w:p>
  </w:endnote>
  <w:endnote w:type="continuationSeparator" w:id="1">
    <w:p w:rsidR="000A462A" w:rsidRDefault="000A462A" w:rsidP="00462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926679815"/>
      <w:docPartObj>
        <w:docPartGallery w:val="Page Numbers (Bottom of Page)"/>
        <w:docPartUnique/>
      </w:docPartObj>
    </w:sdtPr>
    <w:sdtContent>
      <w:p w:rsidR="003B6F7E" w:rsidRPr="007711AA" w:rsidRDefault="000304AD" w:rsidP="007711AA">
        <w:pPr>
          <w:pStyle w:val="a5"/>
          <w:bidi w:val="0"/>
          <w:jc w:val="center"/>
          <w:rPr>
            <w:rFonts w:asciiTheme="majorBidi" w:hAnsiTheme="majorBidi" w:cstheme="majorBidi"/>
            <w:sz w:val="20"/>
            <w:szCs w:val="20"/>
          </w:rPr>
        </w:pPr>
        <w:r w:rsidRPr="007711AA">
          <w:rPr>
            <w:rFonts w:asciiTheme="majorBidi" w:hAnsiTheme="majorBidi" w:cstheme="majorBidi"/>
            <w:sz w:val="20"/>
            <w:szCs w:val="20"/>
          </w:rPr>
          <w:fldChar w:fldCharType="begin"/>
        </w:r>
        <w:r w:rsidRPr="007711AA">
          <w:rPr>
            <w:rFonts w:asciiTheme="majorBidi" w:hAnsiTheme="majorBidi" w:cstheme="majorBidi"/>
            <w:sz w:val="20"/>
            <w:szCs w:val="20"/>
          </w:rPr>
          <w:instrText xml:space="preserve"> PAGE   \* MERGEFORMAT </w:instrText>
        </w:r>
        <w:r w:rsidRPr="007711AA">
          <w:rPr>
            <w:rFonts w:asciiTheme="majorBidi" w:hAnsiTheme="majorBidi" w:cstheme="majorBidi"/>
            <w:sz w:val="20"/>
            <w:szCs w:val="20"/>
          </w:rPr>
          <w:fldChar w:fldCharType="separate"/>
        </w:r>
        <w:r w:rsidR="00F72E24" w:rsidRPr="00F72E24">
          <w:rPr>
            <w:rFonts w:asciiTheme="majorBidi" w:hAnsiTheme="majorBidi" w:cstheme="majorBidi"/>
            <w:noProof/>
            <w:sz w:val="20"/>
            <w:szCs w:val="20"/>
            <w:lang w:val="ar-SA"/>
          </w:rPr>
          <w:t>55</w:t>
        </w:r>
        <w:r w:rsidRPr="007711AA">
          <w:rPr>
            <w:rFonts w:asciiTheme="majorBidi" w:hAnsiTheme="majorBidi" w:cstheme="majorBidi"/>
            <w:sz w:val="20"/>
            <w:szCs w:val="20"/>
          </w:rPr>
          <w:fldChar w:fldCharType="end"/>
        </w:r>
      </w:p>
    </w:sdtContent>
  </w:sdt>
  <w:p w:rsidR="003B6F7E" w:rsidRDefault="003B6F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62A" w:rsidRDefault="000A462A" w:rsidP="00462312">
      <w:pPr>
        <w:spacing w:after="0" w:line="240" w:lineRule="auto"/>
      </w:pPr>
      <w:r>
        <w:separator/>
      </w:r>
    </w:p>
  </w:footnote>
  <w:footnote w:type="continuationSeparator" w:id="1">
    <w:p w:rsidR="000A462A" w:rsidRDefault="000A462A" w:rsidP="00462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AA" w:rsidRDefault="009967AA" w:rsidP="006D0966">
    <w:pPr>
      <w:pStyle w:val="a4"/>
      <w:tabs>
        <w:tab w:val="clear" w:pos="4153"/>
        <w:tab w:val="clear" w:pos="8306"/>
        <w:tab w:val="left" w:pos="1440"/>
        <w:tab w:val="left" w:pos="3045"/>
      </w:tabs>
      <w:rPr>
        <w:lang w:bidi="ar-IQ"/>
      </w:rPr>
    </w:pPr>
    <w:r>
      <w:rPr>
        <w:rtl/>
        <w:lang w:bidi="ar-IQ"/>
      </w:rPr>
      <w:tab/>
    </w:r>
    <w:r w:rsidR="006D0966">
      <w:rPr>
        <w:lang w:bidi="ar-IQ"/>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66" w:rsidRPr="006D0966" w:rsidRDefault="006D0966" w:rsidP="006D0966">
    <w:pPr>
      <w:pStyle w:val="a4"/>
      <w:tabs>
        <w:tab w:val="clear" w:pos="4153"/>
        <w:tab w:val="clear" w:pos="8306"/>
        <w:tab w:val="left" w:pos="1440"/>
        <w:tab w:val="left" w:pos="3045"/>
      </w:tabs>
      <w:jc w:val="center"/>
      <w:rPr>
        <w:lang w:bidi="ar-IQ"/>
      </w:rPr>
    </w:pPr>
    <w:r w:rsidRPr="006D0966">
      <w:rPr>
        <w:rFonts w:asciiTheme="majorBidi" w:hAnsiTheme="majorBidi" w:cstheme="majorBidi"/>
        <w:lang w:bidi="ar-IQ"/>
      </w:rPr>
      <w:t>Al-Awad and Al-Sharifi</w:t>
    </w:r>
    <w:r w:rsidR="007711AA">
      <w:rPr>
        <w:rFonts w:asciiTheme="majorBidi" w:hAnsiTheme="majorBidi" w:cstheme="majorBidi"/>
        <w:lang w:bidi="ar-IQ"/>
      </w:rPr>
      <w:t xml:space="preserve">    </w:t>
    </w:r>
    <w:r w:rsidRPr="006D0966">
      <w:rPr>
        <w:rFonts w:asciiTheme="majorBidi" w:hAnsiTheme="majorBidi" w:cstheme="majorBidi"/>
        <w:lang w:bidi="ar-IQ"/>
      </w:rPr>
      <w:t xml:space="preserve">      MJB-2016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EAF"/>
    <w:multiLevelType w:val="hybridMultilevel"/>
    <w:tmpl w:val="E1C61146"/>
    <w:lvl w:ilvl="0" w:tplc="0A4EAC3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8A4C46"/>
    <w:multiLevelType w:val="multilevel"/>
    <w:tmpl w:val="E0605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D76A5"/>
    <w:multiLevelType w:val="hybridMultilevel"/>
    <w:tmpl w:val="0B96F942"/>
    <w:lvl w:ilvl="0" w:tplc="02E0A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C14CFF"/>
    <w:multiLevelType w:val="hybridMultilevel"/>
    <w:tmpl w:val="B666133E"/>
    <w:lvl w:ilvl="0" w:tplc="8834B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60157"/>
    <w:multiLevelType w:val="hybridMultilevel"/>
    <w:tmpl w:val="319A4D38"/>
    <w:lvl w:ilvl="0" w:tplc="16FC499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DE5D82"/>
    <w:multiLevelType w:val="hybridMultilevel"/>
    <w:tmpl w:val="3532375A"/>
    <w:lvl w:ilvl="0" w:tplc="57027DE4">
      <w:start w:val="14"/>
      <w:numFmt w:val="decimal"/>
      <w:lvlText w:val="%1."/>
      <w:lvlJc w:val="left"/>
      <w:pPr>
        <w:ind w:left="1005" w:hanging="375"/>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9008E4"/>
    <w:multiLevelType w:val="hybridMultilevel"/>
    <w:tmpl w:val="55EA774A"/>
    <w:lvl w:ilvl="0" w:tplc="3C6432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B6318"/>
    <w:multiLevelType w:val="hybridMultilevel"/>
    <w:tmpl w:val="FD38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63125"/>
    <w:multiLevelType w:val="hybridMultilevel"/>
    <w:tmpl w:val="BC5EECB4"/>
    <w:lvl w:ilvl="0" w:tplc="16FC4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541C76"/>
    <w:multiLevelType w:val="hybridMultilevel"/>
    <w:tmpl w:val="55422A5C"/>
    <w:lvl w:ilvl="0" w:tplc="139CB18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4A93221B"/>
    <w:multiLevelType w:val="multilevel"/>
    <w:tmpl w:val="3A44D3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7ED63CA"/>
    <w:multiLevelType w:val="hybridMultilevel"/>
    <w:tmpl w:val="0A16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C3982"/>
    <w:multiLevelType w:val="hybridMultilevel"/>
    <w:tmpl w:val="64B4C940"/>
    <w:lvl w:ilvl="0" w:tplc="DDCA2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76F33"/>
    <w:multiLevelType w:val="hybridMultilevel"/>
    <w:tmpl w:val="9676DC5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34455D3"/>
    <w:multiLevelType w:val="hybridMultilevel"/>
    <w:tmpl w:val="20E2ED18"/>
    <w:lvl w:ilvl="0" w:tplc="6F349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11"/>
  </w:num>
  <w:num w:numId="5">
    <w:abstractNumId w:val="8"/>
  </w:num>
  <w:num w:numId="6">
    <w:abstractNumId w:val="4"/>
  </w:num>
  <w:num w:numId="7">
    <w:abstractNumId w:val="13"/>
  </w:num>
  <w:num w:numId="8">
    <w:abstractNumId w:val="6"/>
  </w:num>
  <w:num w:numId="9">
    <w:abstractNumId w:val="0"/>
  </w:num>
  <w:num w:numId="10">
    <w:abstractNumId w:val="14"/>
  </w:num>
  <w:num w:numId="11">
    <w:abstractNumId w:val="2"/>
  </w:num>
  <w:num w:numId="12">
    <w:abstractNumId w:val="12"/>
  </w:num>
  <w:num w:numId="13">
    <w:abstractNumId w:val="5"/>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67568"/>
    <w:rsid w:val="00003732"/>
    <w:rsid w:val="000043DD"/>
    <w:rsid w:val="000047BE"/>
    <w:rsid w:val="00011082"/>
    <w:rsid w:val="000152C6"/>
    <w:rsid w:val="00021903"/>
    <w:rsid w:val="000268C3"/>
    <w:rsid w:val="000277F7"/>
    <w:rsid w:val="000304AD"/>
    <w:rsid w:val="00033BF8"/>
    <w:rsid w:val="000374C3"/>
    <w:rsid w:val="000420E4"/>
    <w:rsid w:val="00043036"/>
    <w:rsid w:val="00050A3C"/>
    <w:rsid w:val="00063DB4"/>
    <w:rsid w:val="00065A5C"/>
    <w:rsid w:val="000660A0"/>
    <w:rsid w:val="00066733"/>
    <w:rsid w:val="000749BC"/>
    <w:rsid w:val="00074A8C"/>
    <w:rsid w:val="00077C16"/>
    <w:rsid w:val="00097DD0"/>
    <w:rsid w:val="000A3940"/>
    <w:rsid w:val="000A462A"/>
    <w:rsid w:val="000B5A2D"/>
    <w:rsid w:val="000C2558"/>
    <w:rsid w:val="000C2708"/>
    <w:rsid w:val="000D4885"/>
    <w:rsid w:val="000E1F38"/>
    <w:rsid w:val="000E21D7"/>
    <w:rsid w:val="000F142B"/>
    <w:rsid w:val="00107E1F"/>
    <w:rsid w:val="00117ADD"/>
    <w:rsid w:val="00127F5B"/>
    <w:rsid w:val="00140C37"/>
    <w:rsid w:val="0014287C"/>
    <w:rsid w:val="0014379D"/>
    <w:rsid w:val="0016580A"/>
    <w:rsid w:val="0016669E"/>
    <w:rsid w:val="00171B21"/>
    <w:rsid w:val="001774F7"/>
    <w:rsid w:val="001817D5"/>
    <w:rsid w:val="00185C43"/>
    <w:rsid w:val="00191A89"/>
    <w:rsid w:val="00194CD5"/>
    <w:rsid w:val="001A6349"/>
    <w:rsid w:val="001B044D"/>
    <w:rsid w:val="001B052B"/>
    <w:rsid w:val="001B1E14"/>
    <w:rsid w:val="001B523B"/>
    <w:rsid w:val="001B6545"/>
    <w:rsid w:val="001C0BC2"/>
    <w:rsid w:val="001D4D88"/>
    <w:rsid w:val="001E6AF2"/>
    <w:rsid w:val="001F4A25"/>
    <w:rsid w:val="00200025"/>
    <w:rsid w:val="00202B6C"/>
    <w:rsid w:val="00205D87"/>
    <w:rsid w:val="00213B35"/>
    <w:rsid w:val="002309B2"/>
    <w:rsid w:val="002326F9"/>
    <w:rsid w:val="0024295D"/>
    <w:rsid w:val="00244DE3"/>
    <w:rsid w:val="0024577D"/>
    <w:rsid w:val="00251747"/>
    <w:rsid w:val="002616D6"/>
    <w:rsid w:val="0026496A"/>
    <w:rsid w:val="00267287"/>
    <w:rsid w:val="00286DD8"/>
    <w:rsid w:val="00291CBA"/>
    <w:rsid w:val="00293A1D"/>
    <w:rsid w:val="00293CDC"/>
    <w:rsid w:val="00293D28"/>
    <w:rsid w:val="002C5E73"/>
    <w:rsid w:val="002D1BB6"/>
    <w:rsid w:val="002F4153"/>
    <w:rsid w:val="00343EE9"/>
    <w:rsid w:val="00344CFF"/>
    <w:rsid w:val="00345C69"/>
    <w:rsid w:val="003533E9"/>
    <w:rsid w:val="00353DDA"/>
    <w:rsid w:val="003566F1"/>
    <w:rsid w:val="00387C5F"/>
    <w:rsid w:val="00391C8F"/>
    <w:rsid w:val="003A426C"/>
    <w:rsid w:val="003A7D8D"/>
    <w:rsid w:val="003B6F7E"/>
    <w:rsid w:val="003C1499"/>
    <w:rsid w:val="003D0B0D"/>
    <w:rsid w:val="003F4C05"/>
    <w:rsid w:val="003F5926"/>
    <w:rsid w:val="003F5A5D"/>
    <w:rsid w:val="003F5F2C"/>
    <w:rsid w:val="003F6216"/>
    <w:rsid w:val="004001CD"/>
    <w:rsid w:val="00414BDD"/>
    <w:rsid w:val="00423E3C"/>
    <w:rsid w:val="004255D0"/>
    <w:rsid w:val="004264F5"/>
    <w:rsid w:val="00433DBC"/>
    <w:rsid w:val="00440FA2"/>
    <w:rsid w:val="00446D96"/>
    <w:rsid w:val="00455BD7"/>
    <w:rsid w:val="00462312"/>
    <w:rsid w:val="004726EA"/>
    <w:rsid w:val="0047700B"/>
    <w:rsid w:val="004831A0"/>
    <w:rsid w:val="00491B5C"/>
    <w:rsid w:val="004B3B8F"/>
    <w:rsid w:val="004B56B7"/>
    <w:rsid w:val="004C485C"/>
    <w:rsid w:val="004C786B"/>
    <w:rsid w:val="004D2F39"/>
    <w:rsid w:val="004E219D"/>
    <w:rsid w:val="004E2791"/>
    <w:rsid w:val="004E6985"/>
    <w:rsid w:val="00505B0C"/>
    <w:rsid w:val="0052785F"/>
    <w:rsid w:val="00545B52"/>
    <w:rsid w:val="00556E40"/>
    <w:rsid w:val="00567DE4"/>
    <w:rsid w:val="0057312B"/>
    <w:rsid w:val="00580FC6"/>
    <w:rsid w:val="00592E4C"/>
    <w:rsid w:val="00595E92"/>
    <w:rsid w:val="005A5A35"/>
    <w:rsid w:val="005B2531"/>
    <w:rsid w:val="005B3298"/>
    <w:rsid w:val="005E596C"/>
    <w:rsid w:val="005E5B7C"/>
    <w:rsid w:val="00600A4F"/>
    <w:rsid w:val="00603ABD"/>
    <w:rsid w:val="00622F5D"/>
    <w:rsid w:val="00632B74"/>
    <w:rsid w:val="00637ABC"/>
    <w:rsid w:val="00646E35"/>
    <w:rsid w:val="00665F1B"/>
    <w:rsid w:val="00670E85"/>
    <w:rsid w:val="006864FB"/>
    <w:rsid w:val="00695202"/>
    <w:rsid w:val="006A30D8"/>
    <w:rsid w:val="006A44DA"/>
    <w:rsid w:val="006A7388"/>
    <w:rsid w:val="006B27E3"/>
    <w:rsid w:val="006B7AC5"/>
    <w:rsid w:val="006C152E"/>
    <w:rsid w:val="006C1F96"/>
    <w:rsid w:val="006D0966"/>
    <w:rsid w:val="006D4B35"/>
    <w:rsid w:val="006E0F31"/>
    <w:rsid w:val="006E5032"/>
    <w:rsid w:val="006F04AE"/>
    <w:rsid w:val="006F14C7"/>
    <w:rsid w:val="00712EFF"/>
    <w:rsid w:val="007220C4"/>
    <w:rsid w:val="00732F53"/>
    <w:rsid w:val="00742998"/>
    <w:rsid w:val="00750EC5"/>
    <w:rsid w:val="007615A4"/>
    <w:rsid w:val="0076367F"/>
    <w:rsid w:val="00767FD0"/>
    <w:rsid w:val="007711AA"/>
    <w:rsid w:val="007744A5"/>
    <w:rsid w:val="00774A3E"/>
    <w:rsid w:val="00783C65"/>
    <w:rsid w:val="00786BD5"/>
    <w:rsid w:val="00797527"/>
    <w:rsid w:val="007B0A07"/>
    <w:rsid w:val="007C288C"/>
    <w:rsid w:val="007C4086"/>
    <w:rsid w:val="007D24C7"/>
    <w:rsid w:val="007D76B3"/>
    <w:rsid w:val="007E1AAA"/>
    <w:rsid w:val="007E64CE"/>
    <w:rsid w:val="007F0D45"/>
    <w:rsid w:val="007F1E95"/>
    <w:rsid w:val="00804BEB"/>
    <w:rsid w:val="00812058"/>
    <w:rsid w:val="0081621B"/>
    <w:rsid w:val="00817B30"/>
    <w:rsid w:val="008272A6"/>
    <w:rsid w:val="00833BB3"/>
    <w:rsid w:val="00834A8A"/>
    <w:rsid w:val="00841AA8"/>
    <w:rsid w:val="00872A5A"/>
    <w:rsid w:val="008736FD"/>
    <w:rsid w:val="008739F5"/>
    <w:rsid w:val="008A63E7"/>
    <w:rsid w:val="008C0E29"/>
    <w:rsid w:val="008C6460"/>
    <w:rsid w:val="008D030D"/>
    <w:rsid w:val="008D2FD2"/>
    <w:rsid w:val="008D3D4E"/>
    <w:rsid w:val="008E7891"/>
    <w:rsid w:val="008F6523"/>
    <w:rsid w:val="00901353"/>
    <w:rsid w:val="00904EE2"/>
    <w:rsid w:val="00906694"/>
    <w:rsid w:val="009147EE"/>
    <w:rsid w:val="00922A54"/>
    <w:rsid w:val="00943908"/>
    <w:rsid w:val="009534A2"/>
    <w:rsid w:val="0095606B"/>
    <w:rsid w:val="00966BEE"/>
    <w:rsid w:val="009725BD"/>
    <w:rsid w:val="00974273"/>
    <w:rsid w:val="009809AE"/>
    <w:rsid w:val="00994DAD"/>
    <w:rsid w:val="00995587"/>
    <w:rsid w:val="009960EE"/>
    <w:rsid w:val="009967AA"/>
    <w:rsid w:val="009B3DBA"/>
    <w:rsid w:val="009B60F3"/>
    <w:rsid w:val="009C52EF"/>
    <w:rsid w:val="009C5FBC"/>
    <w:rsid w:val="00A21F53"/>
    <w:rsid w:val="00A234A7"/>
    <w:rsid w:val="00A27ED6"/>
    <w:rsid w:val="00A66602"/>
    <w:rsid w:val="00A75CD6"/>
    <w:rsid w:val="00A807B6"/>
    <w:rsid w:val="00A86398"/>
    <w:rsid w:val="00A866A7"/>
    <w:rsid w:val="00A90095"/>
    <w:rsid w:val="00A91247"/>
    <w:rsid w:val="00A97C66"/>
    <w:rsid w:val="00AC43C9"/>
    <w:rsid w:val="00AC7C94"/>
    <w:rsid w:val="00AD100A"/>
    <w:rsid w:val="00AD6231"/>
    <w:rsid w:val="00AE2FB5"/>
    <w:rsid w:val="00AF1725"/>
    <w:rsid w:val="00B12489"/>
    <w:rsid w:val="00B36D2A"/>
    <w:rsid w:val="00B4229B"/>
    <w:rsid w:val="00B46E2C"/>
    <w:rsid w:val="00B471A4"/>
    <w:rsid w:val="00B564E8"/>
    <w:rsid w:val="00B57C28"/>
    <w:rsid w:val="00B65767"/>
    <w:rsid w:val="00B66B00"/>
    <w:rsid w:val="00B72580"/>
    <w:rsid w:val="00B82B9E"/>
    <w:rsid w:val="00B8597E"/>
    <w:rsid w:val="00B868DC"/>
    <w:rsid w:val="00B8691D"/>
    <w:rsid w:val="00B87D93"/>
    <w:rsid w:val="00B91934"/>
    <w:rsid w:val="00B971F9"/>
    <w:rsid w:val="00B97CC0"/>
    <w:rsid w:val="00BB697C"/>
    <w:rsid w:val="00BD183A"/>
    <w:rsid w:val="00BD434C"/>
    <w:rsid w:val="00BD6CD2"/>
    <w:rsid w:val="00BE31C1"/>
    <w:rsid w:val="00BE65DF"/>
    <w:rsid w:val="00BE6D89"/>
    <w:rsid w:val="00BF08CA"/>
    <w:rsid w:val="00BF27B1"/>
    <w:rsid w:val="00BF3771"/>
    <w:rsid w:val="00C00CA7"/>
    <w:rsid w:val="00C21A4F"/>
    <w:rsid w:val="00C22903"/>
    <w:rsid w:val="00C24AF1"/>
    <w:rsid w:val="00C24C31"/>
    <w:rsid w:val="00C3058E"/>
    <w:rsid w:val="00C31076"/>
    <w:rsid w:val="00C32747"/>
    <w:rsid w:val="00C32B54"/>
    <w:rsid w:val="00C67568"/>
    <w:rsid w:val="00C70434"/>
    <w:rsid w:val="00C723D9"/>
    <w:rsid w:val="00C777D3"/>
    <w:rsid w:val="00C8275F"/>
    <w:rsid w:val="00C85FA4"/>
    <w:rsid w:val="00C92E74"/>
    <w:rsid w:val="00C92F56"/>
    <w:rsid w:val="00C9447E"/>
    <w:rsid w:val="00C969F9"/>
    <w:rsid w:val="00C97A0C"/>
    <w:rsid w:val="00CA3BE3"/>
    <w:rsid w:val="00CA71D6"/>
    <w:rsid w:val="00CC2FC4"/>
    <w:rsid w:val="00CD19E3"/>
    <w:rsid w:val="00CD2A7B"/>
    <w:rsid w:val="00CE7009"/>
    <w:rsid w:val="00CE79B1"/>
    <w:rsid w:val="00D02ED6"/>
    <w:rsid w:val="00D03B55"/>
    <w:rsid w:val="00D068E2"/>
    <w:rsid w:val="00D11DBB"/>
    <w:rsid w:val="00D260E5"/>
    <w:rsid w:val="00D46799"/>
    <w:rsid w:val="00D749E4"/>
    <w:rsid w:val="00D766FA"/>
    <w:rsid w:val="00D803C8"/>
    <w:rsid w:val="00D91073"/>
    <w:rsid w:val="00D92C34"/>
    <w:rsid w:val="00DA10E8"/>
    <w:rsid w:val="00DC2D58"/>
    <w:rsid w:val="00DD786B"/>
    <w:rsid w:val="00DE5302"/>
    <w:rsid w:val="00DF4FF0"/>
    <w:rsid w:val="00DF7500"/>
    <w:rsid w:val="00E0317C"/>
    <w:rsid w:val="00E12C50"/>
    <w:rsid w:val="00E16983"/>
    <w:rsid w:val="00E221BD"/>
    <w:rsid w:val="00E2357F"/>
    <w:rsid w:val="00E32737"/>
    <w:rsid w:val="00E468E8"/>
    <w:rsid w:val="00E54C5D"/>
    <w:rsid w:val="00E65FDB"/>
    <w:rsid w:val="00E83C22"/>
    <w:rsid w:val="00E92503"/>
    <w:rsid w:val="00E937DD"/>
    <w:rsid w:val="00E9658E"/>
    <w:rsid w:val="00E96933"/>
    <w:rsid w:val="00E96EF0"/>
    <w:rsid w:val="00EA1679"/>
    <w:rsid w:val="00EA2724"/>
    <w:rsid w:val="00EB3949"/>
    <w:rsid w:val="00EB684B"/>
    <w:rsid w:val="00EC4AF5"/>
    <w:rsid w:val="00F071FE"/>
    <w:rsid w:val="00F17AEB"/>
    <w:rsid w:val="00F22239"/>
    <w:rsid w:val="00F30B50"/>
    <w:rsid w:val="00F3347A"/>
    <w:rsid w:val="00F43E5A"/>
    <w:rsid w:val="00F56DA5"/>
    <w:rsid w:val="00F571D7"/>
    <w:rsid w:val="00F672F7"/>
    <w:rsid w:val="00F70542"/>
    <w:rsid w:val="00F72E24"/>
    <w:rsid w:val="00F77962"/>
    <w:rsid w:val="00F85014"/>
    <w:rsid w:val="00F85D9B"/>
    <w:rsid w:val="00FA571C"/>
    <w:rsid w:val="00FA68F0"/>
    <w:rsid w:val="00FB60BF"/>
    <w:rsid w:val="00FC0E92"/>
    <w:rsid w:val="00FC34A3"/>
    <w:rsid w:val="00FC5A3A"/>
    <w:rsid w:val="00FE171D"/>
    <w:rsid w:val="00FF1C02"/>
    <w:rsid w:val="00FF5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3C"/>
    <w:pPr>
      <w:bidi/>
    </w:pPr>
  </w:style>
  <w:style w:type="paragraph" w:styleId="1">
    <w:name w:val="heading 1"/>
    <w:basedOn w:val="a"/>
    <w:link w:val="1Char"/>
    <w:uiPriority w:val="9"/>
    <w:qFormat/>
    <w:rsid w:val="00033BF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D8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5D87"/>
    <w:rPr>
      <w:rFonts w:ascii="Tahoma" w:hAnsi="Tahoma" w:cs="Tahoma"/>
      <w:sz w:val="16"/>
      <w:szCs w:val="16"/>
    </w:rPr>
  </w:style>
  <w:style w:type="paragraph" w:styleId="a4">
    <w:name w:val="header"/>
    <w:basedOn w:val="a"/>
    <w:link w:val="Char0"/>
    <w:uiPriority w:val="99"/>
    <w:semiHidden/>
    <w:unhideWhenUsed/>
    <w:rsid w:val="00462312"/>
    <w:pPr>
      <w:tabs>
        <w:tab w:val="center" w:pos="4153"/>
        <w:tab w:val="right" w:pos="8306"/>
      </w:tabs>
      <w:spacing w:after="0" w:line="240" w:lineRule="auto"/>
    </w:pPr>
  </w:style>
  <w:style w:type="character" w:customStyle="1" w:styleId="Char0">
    <w:name w:val="رأس صفحة Char"/>
    <w:basedOn w:val="a0"/>
    <w:link w:val="a4"/>
    <w:uiPriority w:val="99"/>
    <w:semiHidden/>
    <w:rsid w:val="00462312"/>
  </w:style>
  <w:style w:type="paragraph" w:styleId="a5">
    <w:name w:val="footer"/>
    <w:basedOn w:val="a"/>
    <w:link w:val="Char1"/>
    <w:uiPriority w:val="99"/>
    <w:unhideWhenUsed/>
    <w:rsid w:val="00462312"/>
    <w:pPr>
      <w:tabs>
        <w:tab w:val="center" w:pos="4153"/>
        <w:tab w:val="right" w:pos="8306"/>
      </w:tabs>
      <w:spacing w:after="0" w:line="240" w:lineRule="auto"/>
    </w:pPr>
  </w:style>
  <w:style w:type="character" w:customStyle="1" w:styleId="Char1">
    <w:name w:val="تذييل صفحة Char"/>
    <w:basedOn w:val="a0"/>
    <w:link w:val="a5"/>
    <w:uiPriority w:val="99"/>
    <w:rsid w:val="00462312"/>
  </w:style>
  <w:style w:type="paragraph" w:styleId="a6">
    <w:name w:val="List Paragraph"/>
    <w:basedOn w:val="a"/>
    <w:uiPriority w:val="34"/>
    <w:qFormat/>
    <w:rsid w:val="00343EE9"/>
    <w:pPr>
      <w:ind w:left="720"/>
      <w:contextualSpacing/>
    </w:pPr>
  </w:style>
  <w:style w:type="character" w:styleId="Hyperlink">
    <w:name w:val="Hyperlink"/>
    <w:basedOn w:val="a0"/>
    <w:uiPriority w:val="99"/>
    <w:unhideWhenUsed/>
    <w:rsid w:val="00603ABD"/>
    <w:rPr>
      <w:color w:val="0000FF" w:themeColor="hyperlink"/>
      <w:u w:val="single"/>
    </w:rPr>
  </w:style>
  <w:style w:type="character" w:customStyle="1" w:styleId="apple-converted-space">
    <w:name w:val="apple-converted-space"/>
    <w:basedOn w:val="a0"/>
    <w:rsid w:val="00E96933"/>
  </w:style>
  <w:style w:type="character" w:customStyle="1" w:styleId="element-citation">
    <w:name w:val="element-citation"/>
    <w:basedOn w:val="a0"/>
    <w:rsid w:val="00E96933"/>
  </w:style>
  <w:style w:type="character" w:customStyle="1" w:styleId="ref-journal">
    <w:name w:val="ref-journal"/>
    <w:basedOn w:val="a0"/>
    <w:rsid w:val="00E96933"/>
  </w:style>
  <w:style w:type="character" w:customStyle="1" w:styleId="ref-vol">
    <w:name w:val="ref-vol"/>
    <w:basedOn w:val="a0"/>
    <w:rsid w:val="00E96933"/>
  </w:style>
  <w:style w:type="character" w:customStyle="1" w:styleId="nowrap">
    <w:name w:val="nowrap"/>
    <w:basedOn w:val="a0"/>
    <w:rsid w:val="00E96933"/>
  </w:style>
  <w:style w:type="character" w:customStyle="1" w:styleId="citation">
    <w:name w:val="citation"/>
    <w:basedOn w:val="a0"/>
    <w:rsid w:val="00391C8F"/>
  </w:style>
  <w:style w:type="character" w:customStyle="1" w:styleId="ref-title">
    <w:name w:val="ref-title"/>
    <w:basedOn w:val="a0"/>
    <w:rsid w:val="00391C8F"/>
  </w:style>
  <w:style w:type="character" w:styleId="a7">
    <w:name w:val="Emphasis"/>
    <w:basedOn w:val="a0"/>
    <w:uiPriority w:val="20"/>
    <w:qFormat/>
    <w:rsid w:val="00391C8F"/>
    <w:rPr>
      <w:i/>
      <w:iCs/>
    </w:rPr>
  </w:style>
  <w:style w:type="character" w:customStyle="1" w:styleId="ref-iss">
    <w:name w:val="ref-iss"/>
    <w:basedOn w:val="a0"/>
    <w:rsid w:val="00391C8F"/>
  </w:style>
  <w:style w:type="character" w:customStyle="1" w:styleId="cit-name-surname">
    <w:name w:val="cit-name-surname"/>
    <w:basedOn w:val="a0"/>
    <w:rsid w:val="00063DB4"/>
  </w:style>
  <w:style w:type="character" w:customStyle="1" w:styleId="cit-name-given-names">
    <w:name w:val="cit-name-given-names"/>
    <w:basedOn w:val="a0"/>
    <w:rsid w:val="00063DB4"/>
  </w:style>
  <w:style w:type="character" w:customStyle="1" w:styleId="cit-etal">
    <w:name w:val="cit-etal"/>
    <w:basedOn w:val="a0"/>
    <w:rsid w:val="00063DB4"/>
  </w:style>
  <w:style w:type="character" w:styleId="HTML">
    <w:name w:val="HTML Cite"/>
    <w:basedOn w:val="a0"/>
    <w:uiPriority w:val="99"/>
    <w:semiHidden/>
    <w:unhideWhenUsed/>
    <w:rsid w:val="00063DB4"/>
    <w:rPr>
      <w:i/>
      <w:iCs/>
    </w:rPr>
  </w:style>
  <w:style w:type="character" w:customStyle="1" w:styleId="cit-article-title">
    <w:name w:val="cit-article-title"/>
    <w:basedOn w:val="a0"/>
    <w:rsid w:val="00063DB4"/>
  </w:style>
  <w:style w:type="character" w:customStyle="1" w:styleId="name">
    <w:name w:val="name"/>
    <w:basedOn w:val="a0"/>
    <w:rsid w:val="00033BF8"/>
  </w:style>
  <w:style w:type="character" w:customStyle="1" w:styleId="1Char">
    <w:name w:val="عنوان 1 Char"/>
    <w:basedOn w:val="a0"/>
    <w:link w:val="1"/>
    <w:uiPriority w:val="9"/>
    <w:rsid w:val="00033BF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153544">
      <w:bodyDiv w:val="1"/>
      <w:marLeft w:val="0"/>
      <w:marRight w:val="0"/>
      <w:marTop w:val="0"/>
      <w:marBottom w:val="0"/>
      <w:divBdr>
        <w:top w:val="none" w:sz="0" w:space="0" w:color="auto"/>
        <w:left w:val="none" w:sz="0" w:space="0" w:color="auto"/>
        <w:bottom w:val="none" w:sz="0" w:space="0" w:color="auto"/>
        <w:right w:val="none" w:sz="0" w:space="0" w:color="auto"/>
      </w:divBdr>
    </w:div>
    <w:div w:id="617183790">
      <w:bodyDiv w:val="1"/>
      <w:marLeft w:val="0"/>
      <w:marRight w:val="0"/>
      <w:marTop w:val="0"/>
      <w:marBottom w:val="0"/>
      <w:divBdr>
        <w:top w:val="none" w:sz="0" w:space="0" w:color="auto"/>
        <w:left w:val="none" w:sz="0" w:space="0" w:color="auto"/>
        <w:bottom w:val="none" w:sz="0" w:space="0" w:color="auto"/>
        <w:right w:val="none" w:sz="0" w:space="0" w:color="auto"/>
      </w:divBdr>
    </w:div>
    <w:div w:id="846287835">
      <w:bodyDiv w:val="1"/>
      <w:marLeft w:val="0"/>
      <w:marRight w:val="0"/>
      <w:marTop w:val="0"/>
      <w:marBottom w:val="0"/>
      <w:divBdr>
        <w:top w:val="none" w:sz="0" w:space="0" w:color="auto"/>
        <w:left w:val="none" w:sz="0" w:space="0" w:color="auto"/>
        <w:bottom w:val="none" w:sz="0" w:space="0" w:color="auto"/>
        <w:right w:val="none" w:sz="0" w:space="0" w:color="auto"/>
      </w:divBdr>
      <w:divsChild>
        <w:div w:id="907422561">
          <w:marLeft w:val="0"/>
          <w:marRight w:val="0"/>
          <w:marTop w:val="0"/>
          <w:marBottom w:val="0"/>
          <w:divBdr>
            <w:top w:val="none" w:sz="0" w:space="0" w:color="auto"/>
            <w:left w:val="none" w:sz="0" w:space="0" w:color="auto"/>
            <w:bottom w:val="none" w:sz="0" w:space="0" w:color="auto"/>
            <w:right w:val="none" w:sz="0" w:space="0" w:color="auto"/>
          </w:divBdr>
          <w:divsChild>
            <w:div w:id="961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402">
      <w:bodyDiv w:val="1"/>
      <w:marLeft w:val="0"/>
      <w:marRight w:val="0"/>
      <w:marTop w:val="0"/>
      <w:marBottom w:val="0"/>
      <w:divBdr>
        <w:top w:val="none" w:sz="0" w:space="0" w:color="auto"/>
        <w:left w:val="none" w:sz="0" w:space="0" w:color="auto"/>
        <w:bottom w:val="none" w:sz="0" w:space="0" w:color="auto"/>
        <w:right w:val="none" w:sz="0" w:space="0" w:color="auto"/>
      </w:divBdr>
    </w:div>
    <w:div w:id="1082219282">
      <w:bodyDiv w:val="1"/>
      <w:marLeft w:val="0"/>
      <w:marRight w:val="0"/>
      <w:marTop w:val="0"/>
      <w:marBottom w:val="0"/>
      <w:divBdr>
        <w:top w:val="none" w:sz="0" w:space="0" w:color="auto"/>
        <w:left w:val="none" w:sz="0" w:space="0" w:color="auto"/>
        <w:bottom w:val="none" w:sz="0" w:space="0" w:color="auto"/>
        <w:right w:val="none" w:sz="0" w:space="0" w:color="auto"/>
      </w:divBdr>
      <w:divsChild>
        <w:div w:id="905990541">
          <w:marLeft w:val="0"/>
          <w:marRight w:val="0"/>
          <w:marTop w:val="0"/>
          <w:marBottom w:val="0"/>
          <w:divBdr>
            <w:top w:val="none" w:sz="0" w:space="0" w:color="auto"/>
            <w:left w:val="none" w:sz="0" w:space="0" w:color="auto"/>
            <w:bottom w:val="none" w:sz="0" w:space="0" w:color="auto"/>
            <w:right w:val="none" w:sz="0" w:space="0" w:color="auto"/>
          </w:divBdr>
          <w:divsChild>
            <w:div w:id="6409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0215">
      <w:bodyDiv w:val="1"/>
      <w:marLeft w:val="0"/>
      <w:marRight w:val="0"/>
      <w:marTop w:val="0"/>
      <w:marBottom w:val="0"/>
      <w:divBdr>
        <w:top w:val="none" w:sz="0" w:space="0" w:color="auto"/>
        <w:left w:val="none" w:sz="0" w:space="0" w:color="auto"/>
        <w:bottom w:val="none" w:sz="0" w:space="0" w:color="auto"/>
        <w:right w:val="none" w:sz="0" w:space="0" w:color="auto"/>
      </w:divBdr>
      <w:divsChild>
        <w:div w:id="1672831273">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n.org/professionals/physician_gls/PDF/cml.pdf.%20Accessed%20January%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medliqaa79@gmail.com" TargetMode="External"/><Relationship Id="rId5" Type="http://schemas.openxmlformats.org/officeDocument/2006/relationships/webSettings" Target="webSettings.xml"/><Relationship Id="rId15" Type="http://schemas.openxmlformats.org/officeDocument/2006/relationships/hyperlink" Target="http://www.nccn.org" TargetMode="External"/><Relationship Id="rId10" Type="http://schemas.openxmlformats.org/officeDocument/2006/relationships/hyperlink" Target="http://www.medicaljb.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3C83-1872-4532-A10C-B2251604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8</Pages>
  <Words>3764</Words>
  <Characters>21456</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C.C</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Rana</cp:lastModifiedBy>
  <cp:revision>215</cp:revision>
  <cp:lastPrinted>2015-12-28T19:29:00Z</cp:lastPrinted>
  <dcterms:created xsi:type="dcterms:W3CDTF">2015-11-13T17:23:00Z</dcterms:created>
  <dcterms:modified xsi:type="dcterms:W3CDTF">2016-04-01T18:48:00Z</dcterms:modified>
</cp:coreProperties>
</file>