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2" w:rsidRDefault="00346213" w:rsidP="00AF0F2D">
      <w:pPr>
        <w:spacing w:line="276" w:lineRule="auto"/>
        <w:rPr>
          <w:b/>
          <w:bCs/>
          <w:sz w:val="28"/>
          <w:szCs w:val="28"/>
          <w:lang w:bidi="ar-IQ"/>
        </w:rPr>
      </w:pPr>
      <w:r w:rsidRPr="003462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margin-left:1.15pt;margin-top:.1pt;width:415.4pt;height:109.4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strokeweight="4.5pt">
            <v:stroke linestyle="thinThick"/>
            <v:textbox>
              <w:txbxContent>
                <w:p w:rsidR="00E177DC" w:rsidRDefault="00E177DC" w:rsidP="00E177DC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IQ"/>
                    </w:rPr>
                    <w:t>Determination of</w:t>
                  </w:r>
                  <w:r w:rsidRPr="002D2EA2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IQ"/>
                    </w:rPr>
                    <w:t>G</w:t>
                  </w:r>
                  <w:r w:rsidRPr="002D2EA2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lucose </w:t>
                  </w:r>
                  <w:r>
                    <w:rPr>
                      <w:b/>
                      <w:bCs/>
                      <w:sz w:val="28"/>
                      <w:szCs w:val="28"/>
                      <w:lang w:bidi="ar-IQ"/>
                    </w:rPr>
                    <w:t>Level as a Parameter for Cell Inhibition by 5-Flurouracil</w:t>
                  </w:r>
                  <w:r w:rsidRPr="002D2EA2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in </w:t>
                  </w:r>
                  <w:r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Human Colonic Cancer </w:t>
                  </w:r>
                  <w:r w:rsidRPr="002D2EA2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SW-480 </w:t>
                  </w:r>
                  <w:r>
                    <w:rPr>
                      <w:b/>
                      <w:bCs/>
                      <w:sz w:val="28"/>
                      <w:szCs w:val="28"/>
                      <w:lang w:bidi="ar-IQ"/>
                    </w:rPr>
                    <w:t>C</w:t>
                  </w:r>
                  <w:r w:rsidRPr="002D2EA2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ell </w:t>
                  </w:r>
                  <w:r>
                    <w:rPr>
                      <w:b/>
                      <w:bCs/>
                      <w:sz w:val="28"/>
                      <w:szCs w:val="28"/>
                      <w:lang w:bidi="ar-IQ"/>
                    </w:rPr>
                    <w:t>L</w:t>
                  </w:r>
                  <w:r w:rsidRPr="002D2EA2">
                    <w:rPr>
                      <w:b/>
                      <w:bCs/>
                      <w:sz w:val="28"/>
                      <w:szCs w:val="28"/>
                      <w:lang w:bidi="ar-IQ"/>
                    </w:rPr>
                    <w:t>ine</w:t>
                  </w:r>
                </w:p>
                <w:p w:rsidR="00E177DC" w:rsidRPr="00E177DC" w:rsidRDefault="00E177DC" w:rsidP="00E177DC">
                  <w:pPr>
                    <w:spacing w:line="276" w:lineRule="auto"/>
                    <w:jc w:val="center"/>
                    <w:rPr>
                      <w:b/>
                      <w:bCs/>
                      <w:lang w:bidi="ar-IQ"/>
                    </w:rPr>
                  </w:pPr>
                </w:p>
                <w:p w:rsidR="00E177DC" w:rsidRPr="00E177DC" w:rsidRDefault="00E177DC" w:rsidP="00E177DC">
                  <w:pPr>
                    <w:jc w:val="center"/>
                    <w:rPr>
                      <w:rFonts w:asciiTheme="majorBidi" w:hAnsiTheme="majorBidi" w:cstheme="majorBidi"/>
                      <w:lang w:bidi="ar-IQ"/>
                    </w:rPr>
                  </w:pPr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 xml:space="preserve">Hamid </w:t>
                  </w:r>
                  <w:proofErr w:type="spellStart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>Naji</w:t>
                  </w:r>
                  <w:proofErr w:type="spellEnd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 xml:space="preserve"> Obeid*    </w:t>
                  </w:r>
                  <w:r>
                    <w:rPr>
                      <w:rFonts w:asciiTheme="majorBidi" w:hAnsiTheme="majorBidi" w:cstheme="majorBidi"/>
                      <w:lang w:bidi="ar-IQ"/>
                    </w:rPr>
                    <w:t xml:space="preserve"> </w:t>
                  </w:r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 xml:space="preserve"> </w:t>
                  </w:r>
                  <w:proofErr w:type="spellStart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>Najat</w:t>
                  </w:r>
                  <w:proofErr w:type="spellEnd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 xml:space="preserve"> A. R. Hasan**     </w:t>
                  </w:r>
                  <w:proofErr w:type="spellStart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>Adeeb</w:t>
                  </w:r>
                  <w:proofErr w:type="spellEnd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 xml:space="preserve"> A. Al-Zubaidy** </w:t>
                  </w:r>
                </w:p>
                <w:p w:rsidR="00E177DC" w:rsidRPr="00E177DC" w:rsidRDefault="00E177DC" w:rsidP="00E177DC">
                  <w:pPr>
                    <w:jc w:val="both"/>
                    <w:rPr>
                      <w:rFonts w:asciiTheme="majorBidi" w:hAnsiTheme="majorBidi" w:cstheme="majorBidi"/>
                      <w:lang w:bidi="ar-IQ"/>
                    </w:rPr>
                  </w:pPr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 xml:space="preserve">*College of Medicine, University of Babylon, </w:t>
                  </w:r>
                  <w:proofErr w:type="spellStart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>Hilla</w:t>
                  </w:r>
                  <w:proofErr w:type="spellEnd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 xml:space="preserve">, Iraq.   </w:t>
                  </w:r>
                </w:p>
                <w:p w:rsidR="00E177DC" w:rsidRPr="00E177DC" w:rsidRDefault="00E177DC" w:rsidP="00E177DC">
                  <w:pPr>
                    <w:jc w:val="both"/>
                    <w:rPr>
                      <w:rFonts w:asciiTheme="majorBidi" w:hAnsiTheme="majorBidi" w:cstheme="majorBidi"/>
                      <w:lang w:bidi="ar-IQ"/>
                    </w:rPr>
                  </w:pPr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>**College of Medicine, Al-</w:t>
                  </w:r>
                  <w:proofErr w:type="spellStart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>Nahrain</w:t>
                  </w:r>
                  <w:proofErr w:type="spellEnd"/>
                  <w:r w:rsidRPr="00E177DC">
                    <w:rPr>
                      <w:rFonts w:asciiTheme="majorBidi" w:hAnsiTheme="majorBidi" w:cstheme="majorBidi"/>
                      <w:lang w:bidi="ar-IQ"/>
                    </w:rPr>
                    <w:t xml:space="preserve"> University, Baghdad, Iraq.</w:t>
                  </w:r>
                </w:p>
                <w:p w:rsidR="00E177DC" w:rsidRDefault="00E177DC" w:rsidP="00E177DC"/>
              </w:txbxContent>
            </v:textbox>
          </v:shape>
        </w:pict>
      </w:r>
    </w:p>
    <w:p w:rsidR="00E177DC" w:rsidRDefault="00E177DC" w:rsidP="00AF0F2D">
      <w:pPr>
        <w:spacing w:line="276" w:lineRule="auto"/>
        <w:rPr>
          <w:b/>
          <w:bCs/>
          <w:sz w:val="28"/>
          <w:szCs w:val="28"/>
          <w:lang w:bidi="ar-IQ"/>
        </w:rPr>
      </w:pPr>
    </w:p>
    <w:p w:rsidR="00E177DC" w:rsidRDefault="00E177DC" w:rsidP="00AF0F2D">
      <w:pPr>
        <w:spacing w:line="276" w:lineRule="auto"/>
        <w:rPr>
          <w:b/>
          <w:bCs/>
          <w:sz w:val="28"/>
          <w:szCs w:val="28"/>
          <w:lang w:bidi="ar-IQ"/>
        </w:rPr>
      </w:pPr>
    </w:p>
    <w:p w:rsidR="00E177DC" w:rsidRDefault="00E177DC" w:rsidP="00AF0F2D">
      <w:pPr>
        <w:spacing w:line="276" w:lineRule="auto"/>
        <w:rPr>
          <w:b/>
          <w:bCs/>
          <w:sz w:val="28"/>
          <w:szCs w:val="28"/>
          <w:lang w:bidi="ar-IQ"/>
        </w:rPr>
      </w:pPr>
    </w:p>
    <w:p w:rsidR="00E177DC" w:rsidRDefault="00E177DC" w:rsidP="00AF0F2D">
      <w:pPr>
        <w:spacing w:line="276" w:lineRule="auto"/>
        <w:rPr>
          <w:b/>
          <w:bCs/>
          <w:sz w:val="28"/>
          <w:szCs w:val="28"/>
          <w:lang w:bidi="ar-IQ"/>
        </w:rPr>
      </w:pPr>
    </w:p>
    <w:p w:rsidR="00E177DC" w:rsidRDefault="00E177DC" w:rsidP="00AF0F2D">
      <w:pPr>
        <w:spacing w:line="276" w:lineRule="auto"/>
        <w:rPr>
          <w:b/>
          <w:bCs/>
          <w:sz w:val="28"/>
          <w:szCs w:val="28"/>
          <w:lang w:bidi="ar-IQ"/>
        </w:rPr>
      </w:pPr>
    </w:p>
    <w:p w:rsidR="00E177DC" w:rsidRDefault="00241F93" w:rsidP="00AF0F2D">
      <w:pPr>
        <w:spacing w:line="276" w:lineRule="auto"/>
        <w:rPr>
          <w:b/>
          <w:bCs/>
          <w:sz w:val="28"/>
          <w:szCs w:val="28"/>
          <w:lang w:bidi="ar-IQ"/>
        </w:rPr>
      </w:pPr>
      <w:r>
        <w:rPr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219710</wp:posOffset>
            </wp:positionV>
            <wp:extent cx="1391920" cy="1105535"/>
            <wp:effectExtent l="0" t="0" r="0" b="0"/>
            <wp:wrapThrough wrapText="bothSides">
              <wp:wrapPolygon edited="0">
                <wp:start x="0" y="0"/>
                <wp:lineTo x="0" y="21215"/>
                <wp:lineTo x="21285" y="21215"/>
                <wp:lineTo x="21285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7DC" w:rsidRDefault="00E177DC" w:rsidP="00AF0F2D">
      <w:pPr>
        <w:spacing w:line="276" w:lineRule="auto"/>
        <w:rPr>
          <w:b/>
          <w:bCs/>
          <w:sz w:val="28"/>
          <w:szCs w:val="28"/>
          <w:lang w:bidi="ar-IQ"/>
        </w:rPr>
      </w:pPr>
    </w:p>
    <w:p w:rsidR="00E177DC" w:rsidRDefault="00E177DC" w:rsidP="00C05E35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p w:rsidR="00E177DC" w:rsidRDefault="00E177DC" w:rsidP="00C05E35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p w:rsidR="00E177DC" w:rsidRDefault="00E177DC" w:rsidP="00C05E35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p w:rsidR="00E177DC" w:rsidRDefault="00E177DC" w:rsidP="00C05E35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p w:rsidR="00E177DC" w:rsidRDefault="00E177DC" w:rsidP="00C05E35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p w:rsidR="00C16FFF" w:rsidRPr="00016CC3" w:rsidRDefault="00C16FFF" w:rsidP="00C16FFF">
      <w:pPr>
        <w:jc w:val="center"/>
        <w:rPr>
          <w:u w:val="single"/>
          <w:rtl/>
          <w:lang w:bidi="ar-IQ"/>
        </w:rPr>
      </w:pPr>
      <w:r>
        <w:rPr>
          <w:b/>
          <w:bCs/>
          <w:u w:val="single"/>
        </w:rPr>
        <w:t>Received  27 October</w:t>
      </w:r>
      <w:r w:rsidRPr="00016CC3">
        <w:rPr>
          <w:b/>
          <w:bCs/>
          <w:u w:val="single"/>
        </w:rPr>
        <w:t xml:space="preserve"> 2013</w:t>
      </w:r>
      <w:r w:rsidRPr="00016CC3">
        <w:t xml:space="preserve">       </w:t>
      </w:r>
      <w:r w:rsidRPr="00016CC3">
        <w:rPr>
          <w:b/>
          <w:bCs/>
        </w:rPr>
        <w:t xml:space="preserve">  </w:t>
      </w:r>
      <w:r w:rsidRPr="00016CC3">
        <w:rPr>
          <w:lang w:bidi="ar-IQ"/>
        </w:rPr>
        <w:t xml:space="preserve">     </w:t>
      </w:r>
      <w:r>
        <w:rPr>
          <w:b/>
          <w:bCs/>
          <w:u w:val="single"/>
        </w:rPr>
        <w:t xml:space="preserve">Accepted 13 </w:t>
      </w:r>
      <w:r w:rsidR="0083442E">
        <w:rPr>
          <w:b/>
          <w:bCs/>
          <w:u w:val="single"/>
        </w:rPr>
        <w:t>January</w:t>
      </w:r>
      <w:r w:rsidRPr="00016CC3">
        <w:rPr>
          <w:b/>
          <w:bCs/>
          <w:u w:val="single"/>
        </w:rPr>
        <w:t xml:space="preserve"> 2013</w:t>
      </w:r>
    </w:p>
    <w:p w:rsidR="00C05E35" w:rsidRPr="00914454" w:rsidRDefault="00C05E35" w:rsidP="00C05E35">
      <w:pPr>
        <w:rPr>
          <w:rFonts w:asciiTheme="majorBidi" w:hAnsiTheme="majorBidi" w:cstheme="majorBidi"/>
          <w:b/>
          <w:bCs/>
          <w:u w:val="single"/>
          <w:lang w:bidi="ar-IQ"/>
        </w:rPr>
      </w:pPr>
      <w:r w:rsidRPr="00914454">
        <w:rPr>
          <w:rFonts w:asciiTheme="majorBidi" w:hAnsiTheme="majorBidi" w:cstheme="majorBidi"/>
          <w:b/>
          <w:bCs/>
          <w:u w:val="single"/>
          <w:lang w:bidi="ar-IQ"/>
        </w:rPr>
        <w:t>Abstract</w:t>
      </w:r>
    </w:p>
    <w:p w:rsidR="00C05E35" w:rsidRPr="00B825EA" w:rsidRDefault="00C05E35" w:rsidP="00E93E11">
      <w:pPr>
        <w:jc w:val="both"/>
        <w:rPr>
          <w:rFonts w:asciiTheme="majorBidi" w:hAnsiTheme="majorBidi" w:cstheme="majorBidi"/>
          <w:sz w:val="20"/>
          <w:szCs w:val="20"/>
          <w:lang w:bidi="ar-IQ"/>
        </w:rPr>
      </w:pPr>
      <w:r w:rsidRPr="00914454">
        <w:rPr>
          <w:rFonts w:asciiTheme="majorBidi" w:hAnsiTheme="majorBidi" w:cstheme="majorBidi"/>
          <w:lang w:bidi="ar-IQ"/>
        </w:rPr>
        <w:t xml:space="preserve">      </w:t>
      </w:r>
      <w:r w:rsidR="00CC6E35" w:rsidRPr="00B825EA">
        <w:rPr>
          <w:rFonts w:asciiTheme="majorBidi" w:hAnsiTheme="majorBidi" w:cstheme="majorBidi"/>
          <w:sz w:val="20"/>
          <w:szCs w:val="20"/>
          <w:lang w:val="en-US" w:bidi="ar-IQ"/>
        </w:rPr>
        <w:t>Colonic cancer (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>SW-480</w:t>
      </w:r>
      <w:r w:rsidR="00CC6E35" w:rsidRPr="00B825EA">
        <w:rPr>
          <w:rFonts w:asciiTheme="majorBidi" w:hAnsiTheme="majorBidi" w:cstheme="majorBidi"/>
          <w:sz w:val="20"/>
          <w:szCs w:val="20"/>
          <w:lang w:bidi="ar-IQ"/>
        </w:rPr>
        <w:t>)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cell line was cultivated on two </w:t>
      </w:r>
      <w:proofErr w:type="spellStart"/>
      <w:r w:rsidRPr="00B825EA">
        <w:rPr>
          <w:rFonts w:asciiTheme="majorBidi" w:hAnsiTheme="majorBidi" w:cstheme="majorBidi"/>
          <w:sz w:val="20"/>
          <w:szCs w:val="20"/>
          <w:lang w:bidi="ar-IQ"/>
        </w:rPr>
        <w:t>microtiter</w:t>
      </w:r>
      <w:proofErr w:type="spellEnd"/>
      <w:r w:rsidRPr="00B825EA">
        <w:rPr>
          <w:rFonts w:asciiTheme="majorBidi" w:hAnsiTheme="majorBidi" w:cstheme="majorBidi"/>
          <w:sz w:val="20"/>
          <w:szCs w:val="20"/>
          <w:lang w:bidi="ar-IQ"/>
        </w:rPr>
        <w:t>-plates of 48 wells, by using the routine culture methods and all what needed from culture media and reage</w:t>
      </w:r>
      <w:bookmarkStart w:id="0" w:name="_GoBack"/>
      <w:bookmarkEnd w:id="0"/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nts. One </w:t>
      </w:r>
      <w:proofErr w:type="spellStart"/>
      <w:r w:rsidRPr="00B825EA">
        <w:rPr>
          <w:rFonts w:asciiTheme="majorBidi" w:hAnsiTheme="majorBidi" w:cstheme="majorBidi"/>
          <w:sz w:val="20"/>
          <w:szCs w:val="20"/>
          <w:lang w:bidi="ar-IQ"/>
        </w:rPr>
        <w:t>microtiter</w:t>
      </w:r>
      <w:proofErr w:type="spellEnd"/>
      <w:r w:rsidRPr="00B825EA">
        <w:rPr>
          <w:rFonts w:asciiTheme="majorBidi" w:hAnsiTheme="majorBidi" w:cstheme="majorBidi"/>
          <w:sz w:val="20"/>
          <w:szCs w:val="20"/>
          <w:lang w:bidi="ar-IQ"/>
        </w:rPr>
        <w:t>-plate of SW-480 cell line was exposed to serial double dilution</w:t>
      </w:r>
      <w:r w:rsidR="00150E87" w:rsidRPr="00B825EA">
        <w:rPr>
          <w:rFonts w:asciiTheme="majorBidi" w:hAnsiTheme="majorBidi" w:cstheme="majorBidi"/>
          <w:sz w:val="20"/>
          <w:szCs w:val="20"/>
          <w:lang w:bidi="ar-IQ"/>
        </w:rPr>
        <w:t>s</w:t>
      </w:r>
      <w:r w:rsidR="004478B8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of 5</w:t>
      </w:r>
      <w:r w:rsidR="00CC6E35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FU starting from </w:t>
      </w:r>
      <w:r w:rsidR="00150E87" w:rsidRPr="00B825EA">
        <w:rPr>
          <w:rFonts w:asciiTheme="majorBidi" w:hAnsiTheme="majorBidi" w:cstheme="majorBidi"/>
          <w:sz w:val="20"/>
          <w:szCs w:val="20"/>
          <w:lang w:bidi="ar-IQ"/>
        </w:rPr>
        <w:t>8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>0 µ</w:t>
      </w:r>
      <w:r w:rsidR="004478B8" w:rsidRPr="00B825EA">
        <w:rPr>
          <w:rFonts w:asciiTheme="majorBidi" w:hAnsiTheme="majorBidi" w:cstheme="majorBidi"/>
          <w:sz w:val="20"/>
          <w:szCs w:val="20"/>
          <w:lang w:bidi="ar-IQ"/>
        </w:rPr>
        <w:t>g/m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L of </w:t>
      </w:r>
      <w:r w:rsidR="004478B8" w:rsidRPr="00B825EA">
        <w:rPr>
          <w:rFonts w:asciiTheme="majorBidi" w:hAnsiTheme="majorBidi" w:cstheme="majorBidi"/>
          <w:sz w:val="20"/>
          <w:szCs w:val="20"/>
          <w:lang w:bidi="ar-IQ"/>
        </w:rPr>
        <w:t>5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FU for 12 hours incubation. </w:t>
      </w:r>
      <w:r w:rsidR="00CE0124" w:rsidRPr="00B825EA">
        <w:rPr>
          <w:rFonts w:asciiTheme="majorBidi" w:hAnsiTheme="majorBidi" w:cstheme="majorBidi"/>
          <w:sz w:val="20"/>
          <w:szCs w:val="20"/>
          <w:lang w:bidi="ar-IQ"/>
        </w:rPr>
        <w:t>Optical density was measured after staining with crystal violet and</w:t>
      </w:r>
      <w:r w:rsidR="00FB6C47" w:rsidRPr="00B825EA">
        <w:rPr>
          <w:rFonts w:asciiTheme="majorBidi" w:hAnsiTheme="majorBidi" w:cstheme="majorBidi"/>
          <w:sz w:val="20"/>
          <w:szCs w:val="20"/>
          <w:lang w:val="en-US" w:bidi="ar-IQ"/>
        </w:rPr>
        <w:t xml:space="preserve"> growth</w:t>
      </w:r>
      <w:r w:rsidR="00CE0124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inhibi</w:t>
      </w:r>
      <w:r w:rsidR="00FB6C47" w:rsidRPr="00B825EA">
        <w:rPr>
          <w:rFonts w:asciiTheme="majorBidi" w:hAnsiTheme="majorBidi" w:cstheme="majorBidi"/>
          <w:sz w:val="20"/>
          <w:szCs w:val="20"/>
          <w:lang w:bidi="ar-IQ"/>
        </w:rPr>
        <w:t>tion percentage was calculated. S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econd </w:t>
      </w:r>
      <w:r w:rsidR="00CE0124" w:rsidRPr="00B825EA">
        <w:rPr>
          <w:rFonts w:asciiTheme="majorBidi" w:hAnsiTheme="majorBidi" w:cstheme="majorBidi"/>
          <w:sz w:val="20"/>
          <w:szCs w:val="20"/>
          <w:lang w:bidi="ar-IQ"/>
        </w:rPr>
        <w:t>SW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-480 cultured plate was </w:t>
      </w:r>
      <w:r w:rsidR="00CE0124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also 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>exposed to same 5-FU dilution</w:t>
      </w:r>
      <w:r w:rsidR="00FB6C47" w:rsidRPr="00B825EA">
        <w:rPr>
          <w:rFonts w:asciiTheme="majorBidi" w:hAnsiTheme="majorBidi" w:cstheme="majorBidi"/>
          <w:sz w:val="20"/>
          <w:szCs w:val="20"/>
          <w:lang w:bidi="ar-IQ"/>
        </w:rPr>
        <w:t>s and</w:t>
      </w:r>
      <w:r w:rsidR="00CE0124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incubation</w:t>
      </w:r>
      <w:r w:rsidR="00FB6C47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period,</w:t>
      </w:r>
      <w:r w:rsidR="00CE0124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115FF7" w:rsidRPr="00B825EA">
        <w:rPr>
          <w:rFonts w:asciiTheme="majorBidi" w:hAnsiTheme="majorBidi" w:cstheme="majorBidi"/>
          <w:sz w:val="20"/>
          <w:szCs w:val="20"/>
          <w:lang w:bidi="ar-IQ"/>
        </w:rPr>
        <w:t>and then</w:t>
      </w:r>
      <w:r w:rsidR="00FB6C47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the</w:t>
      </w:r>
      <w:r w:rsidR="00CE0124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glucose level was determined</w:t>
      </w:r>
      <w:r w:rsidR="00115FF7" w:rsidRPr="00B825EA">
        <w:rPr>
          <w:rFonts w:asciiTheme="majorBidi" w:hAnsiTheme="majorBidi" w:cstheme="majorBidi"/>
          <w:sz w:val="20"/>
          <w:szCs w:val="20"/>
          <w:lang w:val="en-US" w:bidi="ar-IQ"/>
        </w:rPr>
        <w:t xml:space="preserve"> in the culture medium</w:t>
      </w:r>
      <w:r w:rsidR="00CE0124" w:rsidRPr="00B825EA">
        <w:rPr>
          <w:rFonts w:asciiTheme="majorBidi" w:hAnsiTheme="majorBidi" w:cstheme="majorBidi"/>
          <w:sz w:val="20"/>
          <w:szCs w:val="20"/>
          <w:lang w:bidi="ar-IQ"/>
        </w:rPr>
        <w:t>.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There was significant </w:t>
      </w:r>
      <w:r w:rsidR="005823B0" w:rsidRPr="00B825EA">
        <w:rPr>
          <w:rFonts w:asciiTheme="majorBidi" w:hAnsiTheme="majorBidi" w:cstheme="majorBidi"/>
          <w:sz w:val="20"/>
          <w:szCs w:val="20"/>
          <w:lang w:bidi="ar-IQ"/>
        </w:rPr>
        <w:t>increase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(P&lt;0.05</w:t>
      </w:r>
      <w:r w:rsidR="005823B0" w:rsidRPr="00B825EA">
        <w:rPr>
          <w:rFonts w:asciiTheme="majorBidi" w:hAnsiTheme="majorBidi" w:cstheme="majorBidi"/>
          <w:sz w:val="20"/>
          <w:szCs w:val="20"/>
          <w:lang w:bidi="ar-IQ"/>
        </w:rPr>
        <w:t>)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in the</w:t>
      </w:r>
      <w:r w:rsidR="005823B0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 inhibition percent </w:t>
      </w:r>
      <w:r w:rsidR="0039455B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and </w:t>
      </w:r>
      <w:r w:rsidR="0039455B" w:rsidRPr="00B825EA">
        <w:rPr>
          <w:rFonts w:asciiTheme="majorBidi" w:hAnsiTheme="majorBidi" w:cstheme="majorBidi"/>
          <w:sz w:val="20"/>
          <w:szCs w:val="20"/>
        </w:rPr>
        <w:t xml:space="preserve">glucose level </w:t>
      </w:r>
      <w:r w:rsidR="0039455B" w:rsidRPr="00B825EA">
        <w:rPr>
          <w:rFonts w:asciiTheme="majorBidi" w:hAnsiTheme="majorBidi" w:cstheme="majorBidi"/>
          <w:sz w:val="20"/>
          <w:szCs w:val="20"/>
          <w:lang w:bidi="ar-IQ"/>
        </w:rPr>
        <w:t xml:space="preserve">in SW-480 culture media for </w:t>
      </w:r>
      <w:r w:rsidR="004478B8" w:rsidRPr="00B825EA">
        <w:rPr>
          <w:rFonts w:asciiTheme="majorBidi" w:hAnsiTheme="majorBidi" w:cstheme="majorBidi"/>
          <w:sz w:val="20"/>
          <w:szCs w:val="20"/>
          <w:lang w:bidi="ar-IQ"/>
        </w:rPr>
        <w:t>5</w:t>
      </w:r>
      <w:r w:rsidRPr="00B825EA">
        <w:rPr>
          <w:rFonts w:asciiTheme="majorBidi" w:hAnsiTheme="majorBidi" w:cstheme="majorBidi"/>
          <w:sz w:val="20"/>
          <w:szCs w:val="20"/>
          <w:lang w:bidi="ar-IQ"/>
        </w:rPr>
        <w:t xml:space="preserve">FU </w:t>
      </w:r>
      <w:r w:rsidR="0039455B" w:rsidRPr="00B825EA">
        <w:rPr>
          <w:rFonts w:asciiTheme="majorBidi" w:hAnsiTheme="majorBidi" w:cstheme="majorBidi"/>
          <w:sz w:val="20"/>
          <w:szCs w:val="20"/>
          <w:lang w:bidi="ar-IQ"/>
        </w:rPr>
        <w:t>concentrations starting from 2.5µg/ml</w:t>
      </w:r>
      <w:r w:rsidR="00115FF7" w:rsidRPr="00B825EA">
        <w:rPr>
          <w:rFonts w:asciiTheme="majorBidi" w:hAnsiTheme="majorBidi" w:cstheme="majorBidi"/>
          <w:sz w:val="20"/>
          <w:szCs w:val="20"/>
          <w:lang w:val="en-US" w:bidi="ar-IQ"/>
        </w:rPr>
        <w:t xml:space="preserve"> and up</w:t>
      </w:r>
      <w:r w:rsidR="004478B8" w:rsidRPr="00B825EA">
        <w:rPr>
          <w:rFonts w:asciiTheme="majorBidi" w:hAnsiTheme="majorBidi" w:cstheme="majorBidi"/>
          <w:sz w:val="20"/>
          <w:szCs w:val="20"/>
          <w:lang w:val="en-US" w:bidi="ar-IQ"/>
        </w:rPr>
        <w:t xml:space="preserve"> </w:t>
      </w:r>
      <w:r w:rsidR="00115FF7" w:rsidRPr="00B825EA">
        <w:rPr>
          <w:rFonts w:asciiTheme="majorBidi" w:hAnsiTheme="majorBidi" w:cstheme="majorBidi"/>
          <w:sz w:val="20"/>
          <w:szCs w:val="20"/>
          <w:lang w:val="en-US" w:bidi="ar-IQ"/>
        </w:rPr>
        <w:t>word</w:t>
      </w:r>
      <w:r w:rsidR="005823B0" w:rsidRPr="00B825EA">
        <w:rPr>
          <w:rFonts w:asciiTheme="majorBidi" w:hAnsiTheme="majorBidi" w:cstheme="majorBidi"/>
          <w:sz w:val="20"/>
          <w:szCs w:val="20"/>
          <w:lang w:bidi="ar-IQ"/>
        </w:rPr>
        <w:t>.</w:t>
      </w:r>
      <w:r w:rsidRPr="00B825EA">
        <w:rPr>
          <w:rFonts w:asciiTheme="majorBidi" w:hAnsiTheme="majorBidi" w:cstheme="majorBidi"/>
          <w:sz w:val="20"/>
          <w:szCs w:val="20"/>
        </w:rPr>
        <w:t xml:space="preserve"> In conclusion: </w:t>
      </w:r>
      <w:r w:rsidR="00115FF7" w:rsidRPr="00B825EA">
        <w:rPr>
          <w:sz w:val="20"/>
          <w:szCs w:val="20"/>
        </w:rPr>
        <w:t>According to the result</w:t>
      </w:r>
      <w:r w:rsidR="00115FF7" w:rsidRPr="00B825EA">
        <w:rPr>
          <w:sz w:val="20"/>
          <w:szCs w:val="20"/>
          <w:lang w:val="en-US"/>
        </w:rPr>
        <w:t>,</w:t>
      </w:r>
      <w:r w:rsidR="00E93E11" w:rsidRPr="00B825EA">
        <w:rPr>
          <w:sz w:val="20"/>
          <w:szCs w:val="20"/>
        </w:rPr>
        <w:t xml:space="preserve"> determination </w:t>
      </w:r>
      <w:r w:rsidR="00115FF7" w:rsidRPr="00B825EA">
        <w:rPr>
          <w:sz w:val="20"/>
          <w:szCs w:val="20"/>
        </w:rPr>
        <w:t xml:space="preserve">of glucose concentration </w:t>
      </w:r>
      <w:r w:rsidR="00E93E11" w:rsidRPr="00B825EA">
        <w:rPr>
          <w:sz w:val="20"/>
          <w:szCs w:val="20"/>
        </w:rPr>
        <w:t xml:space="preserve">may be a valuable predictor </w:t>
      </w:r>
      <w:r w:rsidR="00115FF7" w:rsidRPr="00B825EA">
        <w:rPr>
          <w:sz w:val="20"/>
          <w:szCs w:val="20"/>
        </w:rPr>
        <w:t xml:space="preserve">for the </w:t>
      </w:r>
      <w:r w:rsidR="00E93E11" w:rsidRPr="00B825EA">
        <w:rPr>
          <w:sz w:val="20"/>
          <w:szCs w:val="20"/>
        </w:rPr>
        <w:t xml:space="preserve">antitumor </w:t>
      </w:r>
      <w:r w:rsidR="00115FF7" w:rsidRPr="00B825EA">
        <w:rPr>
          <w:sz w:val="20"/>
          <w:szCs w:val="20"/>
        </w:rPr>
        <w:t xml:space="preserve">drug </w:t>
      </w:r>
      <w:r w:rsidR="00E93E11" w:rsidRPr="00B825EA">
        <w:rPr>
          <w:sz w:val="20"/>
          <w:szCs w:val="20"/>
        </w:rPr>
        <w:t>response.</w:t>
      </w:r>
    </w:p>
    <w:p w:rsidR="00CC6E35" w:rsidRPr="00B825EA" w:rsidRDefault="00B825EA" w:rsidP="008A2F27">
      <w:pPr>
        <w:bidi/>
        <w:jc w:val="both"/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IQ"/>
        </w:rPr>
      </w:pPr>
      <w:r w:rsidRPr="00B825EA">
        <w:rPr>
          <w:rFonts w:ascii="Simplified Arabic" w:hAnsi="Simplified Arabic" w:cs="Simplified Arabic"/>
          <w:b/>
          <w:bCs/>
          <w:u w:val="single"/>
          <w:rtl/>
          <w:lang w:bidi="ar-IQ"/>
        </w:rPr>
        <w:t>ا</w:t>
      </w:r>
      <w:r w:rsidR="00CC6E35" w:rsidRPr="00B825EA">
        <w:rPr>
          <w:rFonts w:ascii="Simplified Arabic" w:hAnsi="Simplified Arabic" w:cs="Simplified Arabic"/>
          <w:b/>
          <w:bCs/>
          <w:u w:val="single"/>
          <w:rtl/>
          <w:lang w:bidi="ar-IQ"/>
        </w:rPr>
        <w:t>لخلاصة</w:t>
      </w:r>
      <w:r w:rsidRPr="00B825EA">
        <w:rPr>
          <w:rFonts w:ascii="Simplified Arabic" w:hAnsi="Simplified Arabic" w:cs="Simplified Arabic"/>
          <w:b/>
          <w:bCs/>
          <w:u w:val="single"/>
          <w:rtl/>
          <w:lang w:bidi="ar-IQ"/>
        </w:rPr>
        <w:t xml:space="preserve"> </w:t>
      </w:r>
    </w:p>
    <w:p w:rsidR="00B825EA" w:rsidRDefault="004478B8" w:rsidP="004478B8">
      <w:pPr>
        <w:bidi/>
        <w:jc w:val="both"/>
        <w:rPr>
          <w:rFonts w:ascii="Simplified Arabic" w:hAnsi="Simplified Arabic" w:cs="Simplified Arabic"/>
          <w:sz w:val="20"/>
          <w:szCs w:val="20"/>
          <w:rtl/>
          <w:lang w:bidi="ar-IQ"/>
        </w:rPr>
      </w:pP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    </w:t>
      </w:r>
      <w:r w:rsidR="00CC6E35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تمت زراعة خط سرطان القلون الخلوي</w:t>
      </w: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على طبقي معايرة ذات</w:t>
      </w:r>
      <w:r w:rsidR="00CC6E35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48 حفرة باستخدام طرق الزرع الروتينيه وما يتطلب من أوساط زرعية ومحاليل.عرض أحد طبقي المعايرة إلى سلسلة تراكيز ثنائية التخفيف من عقار الفلورويوراسيل بد</w:t>
      </w: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ءا</w:t>
      </w:r>
      <w:r w:rsidR="00CC6E35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من 80 </w:t>
      </w:r>
      <w:proofErr w:type="spellStart"/>
      <w:r w:rsidR="00CC6E35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مايكرو</w:t>
      </w: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كرام</w:t>
      </w:r>
      <w:proofErr w:type="spellEnd"/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/</w:t>
      </w:r>
      <w:proofErr w:type="spellStart"/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ملي</w:t>
      </w:r>
      <w:r w:rsidR="00CC6E35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ليتر</w:t>
      </w:r>
      <w:proofErr w:type="spellEnd"/>
      <w:r w:rsidR="00CC6E35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ولمدة حضن 1</w:t>
      </w: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2</w:t>
      </w:r>
      <w:r w:rsidR="00CC6E35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ساعة.</w:t>
      </w:r>
      <w:r w:rsidR="00FB6C47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قيست الكثافة البصرية بعد اجراء عملية التصبيغ بواسطة صبغة الكرستال البنفسجية وبعدها حساب نسبة التثبيط في النمو.</w:t>
      </w:r>
      <w:r w:rsidR="00115FF7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عرضت صفيحة ثانيه الى نفس تخافيف </w:t>
      </w: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الفلورويوراسيل الخماسي ومدة الحضن ومن ثم قيست تراكيز الك</w:t>
      </w:r>
      <w:r w:rsidR="00115FF7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لوكوز في الوسط الزرعي. لوحظ زيادة م</w:t>
      </w: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عنويه في نسبة التثبيط ومستوى الك</w:t>
      </w:r>
      <w:r w:rsidR="00115FF7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لوكوز في وسط خط سرطان القولون لتراكيز الفلورويوراسيل إبتدائا من تركيز 2.5 مايكروغرام في المليلتر الواحد فما فوق. </w:t>
      </w: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وطبقا للنتائج فأن قياس تركيز الك</w:t>
      </w:r>
      <w:r w:rsidR="00115FF7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لوكوز </w:t>
      </w:r>
      <w:r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>يعتبر</w:t>
      </w:r>
      <w:r w:rsidR="00F56CDE" w:rsidRPr="00B825EA">
        <w:rPr>
          <w:rFonts w:ascii="Simplified Arabic" w:hAnsi="Simplified Arabic" w:cs="Simplified Arabic"/>
          <w:sz w:val="20"/>
          <w:szCs w:val="20"/>
          <w:rtl/>
          <w:lang w:bidi="ar-IQ"/>
        </w:rPr>
        <w:t xml:space="preserve"> مؤشرا مفيدا لفعالية الأدوية المضادة للسرطان.</w:t>
      </w:r>
    </w:p>
    <w:p w:rsidR="00CC6E35" w:rsidRPr="00B825EA" w:rsidRDefault="00B825EA" w:rsidP="00B825EA">
      <w:pPr>
        <w:bidi/>
        <w:jc w:val="center"/>
        <w:rPr>
          <w:rFonts w:ascii="Simplified Arabic" w:hAnsi="Simplified Arabic" w:cs="Simplified Arabic"/>
          <w:sz w:val="20"/>
          <w:szCs w:val="20"/>
          <w:rtl/>
          <w:lang w:bidi="ar-IQ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515C" w:rsidRDefault="0045515C" w:rsidP="00AF0F2D">
      <w:pPr>
        <w:spacing w:line="276" w:lineRule="auto"/>
        <w:rPr>
          <w:b/>
          <w:bCs/>
          <w:u w:val="single"/>
          <w:lang w:bidi="ar-IQ"/>
        </w:rPr>
        <w:sectPr w:rsidR="0045515C" w:rsidSect="000F2B74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pgNumType w:start="98"/>
          <w:cols w:space="708"/>
          <w:bidi/>
          <w:rtlGutter/>
          <w:docGrid w:linePitch="360"/>
        </w:sectPr>
      </w:pPr>
    </w:p>
    <w:p w:rsidR="00842528" w:rsidRPr="00914454" w:rsidRDefault="00842528" w:rsidP="00AF0F2D">
      <w:pPr>
        <w:spacing w:line="276" w:lineRule="auto"/>
        <w:rPr>
          <w:b/>
          <w:bCs/>
          <w:u w:val="single"/>
          <w:lang w:bidi="ar-IQ"/>
        </w:rPr>
      </w:pPr>
      <w:r w:rsidRPr="00914454">
        <w:rPr>
          <w:b/>
          <w:bCs/>
          <w:u w:val="single"/>
          <w:lang w:bidi="ar-IQ"/>
        </w:rPr>
        <w:lastRenderedPageBreak/>
        <w:t>Introduction</w:t>
      </w:r>
    </w:p>
    <w:p w:rsidR="00AF1C6E" w:rsidRPr="00AF1C6E" w:rsidRDefault="00AF1C6E" w:rsidP="00AF1C6E">
      <w:pPr>
        <w:keepNext/>
        <w:framePr w:dropCap="drop" w:lines="3" w:wrap="around" w:vAnchor="text" w:hAnchor="text"/>
        <w:spacing w:line="827" w:lineRule="exact"/>
        <w:jc w:val="both"/>
        <w:textAlignment w:val="baseline"/>
        <w:rPr>
          <w:rFonts w:asciiTheme="majorBidi" w:hAnsiTheme="majorBidi" w:cstheme="majorBidi"/>
          <w:position w:val="-10"/>
          <w:sz w:val="107"/>
          <w:szCs w:val="107"/>
        </w:rPr>
      </w:pPr>
      <w:r w:rsidRPr="00AF1C6E">
        <w:rPr>
          <w:rFonts w:asciiTheme="majorBidi" w:hAnsiTheme="majorBidi" w:cstheme="majorBidi"/>
          <w:position w:val="-10"/>
          <w:sz w:val="107"/>
          <w:szCs w:val="107"/>
        </w:rPr>
        <w:t>C</w:t>
      </w:r>
    </w:p>
    <w:p w:rsidR="00842528" w:rsidRPr="00914454" w:rsidRDefault="00842528" w:rsidP="004644FB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val="en-US" w:eastAsia="en-US" w:bidi="ar-IQ"/>
        </w:rPr>
      </w:pPr>
      <w:r w:rsidRPr="00914454">
        <w:rPr>
          <w:rFonts w:asciiTheme="majorBidi" w:hAnsiTheme="majorBidi" w:cstheme="majorBidi"/>
        </w:rPr>
        <w:t xml:space="preserve">olorectal cancer (CRC) is the third most common cancer in the world. An estimated 1.24 million people worldwide were diagnosed with CRC in 2008, </w:t>
      </w:r>
      <w:hyperlink r:id="rId10" w:anchor="Common" w:history="1">
        <w:r w:rsidRPr="00914454">
          <w:rPr>
            <w:rFonts w:asciiTheme="majorBidi" w:hAnsiTheme="majorBidi" w:cstheme="majorBidi"/>
          </w:rPr>
          <w:t>accounting for 10% of the total</w:t>
        </w:r>
      </w:hyperlink>
      <w:r w:rsidRPr="00914454">
        <w:rPr>
          <w:rFonts w:asciiTheme="majorBidi" w:hAnsiTheme="majorBidi" w:cstheme="majorBidi"/>
        </w:rPr>
        <w:t xml:space="preserve">. It is the fourth most common cause of cancer death worldwide, estimated to be responsible for almost </w:t>
      </w:r>
      <w:hyperlink r:id="rId11" w:anchor="Common" w:history="1">
        <w:r w:rsidRPr="00914454">
          <w:rPr>
            <w:rFonts w:asciiTheme="majorBidi" w:hAnsiTheme="majorBidi" w:cstheme="majorBidi"/>
          </w:rPr>
          <w:t>610,000 deaths in 2008</w:t>
        </w:r>
      </w:hyperlink>
      <w:r w:rsidRPr="00914454">
        <w:rPr>
          <w:rFonts w:asciiTheme="majorBidi" w:hAnsiTheme="majorBidi" w:cstheme="majorBidi"/>
        </w:rPr>
        <w:t xml:space="preserve"> 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1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="004644FB" w:rsidRPr="00914454">
        <w:rPr>
          <w:rFonts w:ascii="AdvTimes" w:eastAsiaTheme="minorHAnsi" w:hAnsi="AdvTimes" w:cs="AdvTimes"/>
          <w:lang w:val="en-US" w:eastAsia="en-US"/>
        </w:rPr>
        <w:t xml:space="preserve">. </w:t>
      </w:r>
      <w:r w:rsidRPr="00914454">
        <w:rPr>
          <w:rFonts w:asciiTheme="majorBidi" w:hAnsiTheme="majorBidi" w:cstheme="majorBidi"/>
          <w:color w:val="000000"/>
        </w:rPr>
        <w:t xml:space="preserve">The incidence of CRC increased around the world during the last two decades even though there were many strategies in </w:t>
      </w:r>
      <w:r w:rsidRPr="00914454">
        <w:rPr>
          <w:rFonts w:asciiTheme="majorBidi" w:hAnsiTheme="majorBidi" w:cstheme="majorBidi"/>
          <w:color w:val="000000"/>
        </w:rPr>
        <w:lastRenderedPageBreak/>
        <w:t xml:space="preserve">preventing it 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2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Pr="00914454">
        <w:rPr>
          <w:rFonts w:asciiTheme="majorBidi" w:hAnsiTheme="majorBidi" w:cstheme="majorBidi"/>
        </w:rPr>
        <w:t>.</w:t>
      </w:r>
      <w:r w:rsidRPr="00914454">
        <w:rPr>
          <w:rFonts w:asciiTheme="majorBidi" w:hAnsiTheme="majorBidi" w:cstheme="majorBidi"/>
          <w:lang w:bidi="ar-IQ"/>
        </w:rPr>
        <w:t xml:space="preserve"> </w:t>
      </w:r>
      <w:r w:rsidR="004478B8" w:rsidRPr="00914454">
        <w:rPr>
          <w:rFonts w:asciiTheme="majorBidi" w:eastAsiaTheme="minorHAnsi" w:hAnsiTheme="majorBidi" w:cstheme="majorBidi"/>
          <w:lang w:val="en-US" w:eastAsia="en-US"/>
        </w:rPr>
        <w:t>5-Fluorouracil (5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FU) is an antimetabolite of the pyrimidine analogue type, with a broad spectrum of activity against solid tumors such as colon cancer 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3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.</w:t>
      </w:r>
    </w:p>
    <w:p w:rsidR="008A2F27" w:rsidRPr="00914454" w:rsidRDefault="00842528" w:rsidP="008A2F27">
      <w:pPr>
        <w:autoSpaceDE w:val="0"/>
        <w:autoSpaceDN w:val="0"/>
        <w:adjustRightInd w:val="0"/>
        <w:jc w:val="both"/>
        <w:rPr>
          <w:rFonts w:ascii="AdvTimes" w:eastAsiaTheme="minorHAnsi" w:hAnsi="AdvTimes" w:cstheme="minorBidi"/>
          <w:rtl/>
          <w:lang w:val="en-US" w:eastAsia="en-US" w:bidi="ar-IQ"/>
        </w:rPr>
      </w:pPr>
      <w:r w:rsidRPr="00914454">
        <w:rPr>
          <w:rFonts w:asciiTheme="majorBidi" w:eastAsiaTheme="minorHAnsi" w:hAnsiTheme="majorBidi" w:cstheme="majorBidi"/>
          <w:lang w:val="en-US" w:eastAsia="en-US"/>
        </w:rPr>
        <w:t xml:space="preserve">        There are various assay methods for evaluating the cytotoxic effects </w:t>
      </w:r>
      <w:r w:rsidR="0041062C" w:rsidRPr="00914454">
        <w:rPr>
          <w:rFonts w:asciiTheme="majorBidi" w:eastAsiaTheme="minorHAnsi" w:hAnsiTheme="majorBidi" w:cstheme="majorBidi"/>
          <w:lang w:val="en-US" w:eastAsia="en-US"/>
        </w:rPr>
        <w:t>of chemicals on cultured cells including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: the neutral red assay 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4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, </w:t>
      </w:r>
      <w:r w:rsidR="00812A22" w:rsidRPr="00914454">
        <w:rPr>
          <w:lang w:val="en-US"/>
        </w:rPr>
        <w:t xml:space="preserve"> </w:t>
      </w:r>
      <w:proofErr w:type="spellStart"/>
      <w:r w:rsidRPr="00914454">
        <w:rPr>
          <w:lang w:val="en-US"/>
        </w:rPr>
        <w:t>methylthiozol</w:t>
      </w:r>
      <w:proofErr w:type="spellEnd"/>
      <w:r w:rsidRPr="00914454">
        <w:rPr>
          <w:lang w:val="en-US"/>
        </w:rPr>
        <w:t xml:space="preserve"> </w:t>
      </w:r>
      <w:proofErr w:type="spellStart"/>
      <w:r w:rsidRPr="00914454">
        <w:rPr>
          <w:lang w:val="en-US"/>
        </w:rPr>
        <w:t>tetrazolium</w:t>
      </w:r>
      <w:proofErr w:type="spellEnd"/>
      <w:r w:rsidRPr="00914454">
        <w:t xml:space="preserve"> </w:t>
      </w:r>
      <w:r w:rsidRPr="00914454">
        <w:rPr>
          <w:rFonts w:asciiTheme="majorBidi" w:eastAsiaTheme="minorHAnsi" w:hAnsiTheme="majorBidi" w:cstheme="majorBidi"/>
          <w:lang w:val="en-US" w:eastAsia="en-US"/>
        </w:rPr>
        <w:t>(MTT</w:t>
      </w:r>
      <w:r w:rsidRPr="00914454">
        <w:t xml:space="preserve">) 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assay 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5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="004644FB" w:rsidRPr="00914454">
        <w:rPr>
          <w:rFonts w:ascii="AdvTimes" w:eastAsiaTheme="minorHAnsi" w:hAnsi="AdvTimes" w:cs="AdvTimes"/>
          <w:lang w:val="en-US" w:eastAsia="en-US"/>
        </w:rPr>
        <w:t xml:space="preserve"> </w:t>
      </w:r>
      <w:r w:rsidR="004644FB" w:rsidRPr="00914454">
        <w:rPr>
          <w:rFonts w:asciiTheme="majorBidi" w:eastAsiaTheme="minorHAnsi" w:hAnsiTheme="majorBidi" w:cstheme="majorBidi"/>
          <w:lang w:val="en-US" w:eastAsia="en-US"/>
        </w:rPr>
        <w:t xml:space="preserve">and 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crystal violet (CV) </w:t>
      </w:r>
      <w:r w:rsidR="00260E05" w:rsidRPr="00914454">
        <w:rPr>
          <w:rFonts w:asciiTheme="majorBidi" w:eastAsiaTheme="minorHAnsi" w:hAnsiTheme="majorBidi" w:cstheme="majorBidi"/>
          <w:lang w:val="en-US" w:eastAsia="en-US"/>
        </w:rPr>
        <w:t xml:space="preserve">staining 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assay 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6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="004644FB" w:rsidRPr="00914454">
        <w:rPr>
          <w:rFonts w:ascii="AdvTimes" w:eastAsiaTheme="minorHAnsi" w:hAnsi="AdvTimes" w:cs="AdvTimes"/>
          <w:lang w:val="en-US" w:eastAsia="en-US"/>
        </w:rPr>
        <w:t xml:space="preserve">. 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Although used extensively as convenient and rapid measures of cell viability, all of these assay </w:t>
      </w:r>
      <w:r w:rsidRPr="00914454">
        <w:rPr>
          <w:rFonts w:asciiTheme="majorBidi" w:eastAsiaTheme="minorHAnsi" w:hAnsiTheme="majorBidi" w:cstheme="majorBidi"/>
          <w:lang w:val="en-US" w:eastAsia="en-US"/>
        </w:rPr>
        <w:lastRenderedPageBreak/>
        <w:t>methods have their disadvantages and must be used with caution</w:t>
      </w:r>
      <w:r w:rsidR="004644FB" w:rsidRPr="00914454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7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Pr="00914454">
        <w:rPr>
          <w:rFonts w:asciiTheme="majorBidi" w:eastAsiaTheme="minorHAnsi" w:hAnsiTheme="majorBidi" w:cstheme="majorBidi"/>
          <w:lang w:val="en-US" w:eastAsia="en-US"/>
        </w:rPr>
        <w:t>.</w:t>
      </w:r>
      <w:r w:rsidRPr="00914454">
        <w:rPr>
          <w:rFonts w:ascii="AdvTimes" w:eastAsiaTheme="minorHAnsi" w:hAnsi="AdvTimes" w:cs="AdvTimes"/>
          <w:lang w:val="en-US" w:eastAsia="en-US"/>
        </w:rPr>
        <w:t xml:space="preserve"> These disadvantages indicate the necessity of using another method for evaluating the </w:t>
      </w:r>
      <w:proofErr w:type="spellStart"/>
      <w:r w:rsidRPr="00914454">
        <w:rPr>
          <w:rFonts w:ascii="AdvTimes" w:eastAsiaTheme="minorHAnsi" w:hAnsi="AdvTimes" w:cs="AdvTimes"/>
          <w:lang w:val="en-US" w:eastAsia="en-US"/>
        </w:rPr>
        <w:t>ctotoxicity</w:t>
      </w:r>
      <w:proofErr w:type="spellEnd"/>
      <w:r w:rsidRPr="00914454">
        <w:rPr>
          <w:rFonts w:ascii="AdvTimes" w:eastAsiaTheme="minorHAnsi" w:hAnsi="AdvTimes" w:cs="AdvTimes"/>
          <w:lang w:val="en-US" w:eastAsia="en-US"/>
        </w:rPr>
        <w:t xml:space="preserve"> of chemotherapeutic agents. The present study is designed to evaluate glucose level as a parameter for</w:t>
      </w:r>
      <w:r w:rsidR="0041062C" w:rsidRPr="00914454">
        <w:rPr>
          <w:rFonts w:ascii="AdvTimes" w:eastAsiaTheme="minorHAnsi" w:hAnsi="AdvTimes" w:cs="AdvTimes"/>
          <w:lang w:val="en-US" w:eastAsia="en-US"/>
        </w:rPr>
        <w:t xml:space="preserve"> cell viability in</w:t>
      </w:r>
      <w:r w:rsidR="00AE2B93" w:rsidRPr="00914454">
        <w:rPr>
          <w:rFonts w:ascii="AdvTimes" w:eastAsiaTheme="minorHAnsi" w:hAnsi="AdvTimes" w:cs="AdvTimes"/>
          <w:lang w:val="en-US" w:eastAsia="en-US"/>
        </w:rPr>
        <w:t xml:space="preserve"> comparison with CV</w:t>
      </w:r>
      <w:r w:rsidRPr="00914454">
        <w:rPr>
          <w:rFonts w:ascii="AdvTimes" w:eastAsiaTheme="minorHAnsi" w:hAnsi="AdvTimes" w:cs="AdvTimes"/>
          <w:lang w:val="en-US" w:eastAsia="en-US"/>
        </w:rPr>
        <w:t xml:space="preserve"> assay.  </w:t>
      </w:r>
    </w:p>
    <w:p w:rsidR="00914454" w:rsidRDefault="00914454" w:rsidP="00842528">
      <w:pPr>
        <w:spacing w:line="276" w:lineRule="auto"/>
        <w:jc w:val="both"/>
        <w:rPr>
          <w:b/>
          <w:bCs/>
          <w:lang w:bidi="ar-IQ"/>
        </w:rPr>
      </w:pPr>
    </w:p>
    <w:p w:rsidR="00842528" w:rsidRPr="00AF1C6E" w:rsidRDefault="00842528" w:rsidP="00AF1C6E">
      <w:pPr>
        <w:spacing w:line="276" w:lineRule="auto"/>
        <w:jc w:val="both"/>
        <w:rPr>
          <w:b/>
          <w:bCs/>
          <w:u w:val="single"/>
          <w:lang w:bidi="ar-IQ"/>
        </w:rPr>
      </w:pPr>
      <w:r w:rsidRPr="00AF1C6E">
        <w:rPr>
          <w:b/>
          <w:bCs/>
          <w:u w:val="single"/>
          <w:lang w:bidi="ar-IQ"/>
        </w:rPr>
        <w:t xml:space="preserve">Materials and </w:t>
      </w:r>
      <w:r w:rsidR="00AF1C6E">
        <w:rPr>
          <w:b/>
          <w:bCs/>
          <w:u w:val="single"/>
          <w:lang w:bidi="ar-IQ"/>
        </w:rPr>
        <w:t>M</w:t>
      </w:r>
      <w:r w:rsidRPr="00AF1C6E">
        <w:rPr>
          <w:b/>
          <w:bCs/>
          <w:u w:val="single"/>
          <w:lang w:bidi="ar-IQ"/>
        </w:rPr>
        <w:t>ethods</w:t>
      </w:r>
    </w:p>
    <w:p w:rsidR="00842528" w:rsidRPr="00914454" w:rsidRDefault="0041062C" w:rsidP="0045515C">
      <w:pPr>
        <w:jc w:val="both"/>
        <w:rPr>
          <w:b/>
          <w:bCs/>
          <w:lang w:bidi="ar-IQ"/>
        </w:rPr>
      </w:pPr>
      <w:r w:rsidRPr="00914454">
        <w:rPr>
          <w:b/>
          <w:bCs/>
          <w:lang w:bidi="ar-IQ"/>
        </w:rPr>
        <w:t>1. The</w:t>
      </w:r>
      <w:r w:rsidR="004478B8" w:rsidRPr="00914454">
        <w:rPr>
          <w:b/>
          <w:bCs/>
          <w:lang w:bidi="ar-IQ"/>
        </w:rPr>
        <w:t xml:space="preserve"> effect of 5</w:t>
      </w:r>
      <w:r w:rsidR="00842528" w:rsidRPr="00914454">
        <w:rPr>
          <w:b/>
          <w:bCs/>
          <w:lang w:bidi="ar-IQ"/>
        </w:rPr>
        <w:t>FU on SW-480</w:t>
      </w:r>
    </w:p>
    <w:p w:rsidR="00842528" w:rsidRPr="00914454" w:rsidRDefault="00842528" w:rsidP="003458CC">
      <w:pPr>
        <w:autoSpaceDE w:val="0"/>
        <w:autoSpaceDN w:val="0"/>
        <w:adjustRightInd w:val="0"/>
        <w:jc w:val="both"/>
        <w:rPr>
          <w:lang w:val="en-US"/>
        </w:rPr>
      </w:pPr>
      <w:r w:rsidRPr="00914454">
        <w:rPr>
          <w:rFonts w:asciiTheme="majorBidi" w:eastAsiaTheme="minorHAnsi" w:hAnsiTheme="majorBidi" w:cstheme="majorBidi"/>
          <w:i/>
          <w:iCs/>
          <w:lang w:val="en-US" w:eastAsia="en-US"/>
        </w:rPr>
        <w:t xml:space="preserve">     </w:t>
      </w:r>
      <w:r w:rsidR="00260E05" w:rsidRPr="00914454">
        <w:rPr>
          <w:rFonts w:asciiTheme="majorBidi" w:eastAsiaTheme="minorHAnsi" w:hAnsiTheme="majorBidi" w:cstheme="majorBidi"/>
          <w:lang w:val="en-US" w:eastAsia="en-US"/>
        </w:rPr>
        <w:t xml:space="preserve">According to </w:t>
      </w:r>
      <w:proofErr w:type="spellStart"/>
      <w:r w:rsidR="00260E05" w:rsidRPr="00914454">
        <w:rPr>
          <w:rFonts w:asciiTheme="majorBidi" w:eastAsiaTheme="minorHAnsi" w:hAnsiTheme="majorBidi" w:cstheme="majorBidi"/>
          <w:lang w:val="en-US" w:eastAsia="en-US"/>
        </w:rPr>
        <w:t>Freshnny</w:t>
      </w:r>
      <w:proofErr w:type="spellEnd"/>
      <w:r w:rsidR="00260E05" w:rsidRPr="00914454">
        <w:rPr>
          <w:rFonts w:asciiTheme="majorBidi" w:eastAsiaTheme="minorHAnsi" w:hAnsiTheme="majorBidi" w:cstheme="majorBidi"/>
          <w:lang w:val="en-US" w:eastAsia="en-US"/>
        </w:rPr>
        <w:t>, (1994)</w:t>
      </w:r>
      <w:r w:rsidRPr="00914454">
        <w:rPr>
          <w:rFonts w:asciiTheme="majorBidi" w:eastAsiaTheme="minorHAnsi" w:hAnsiTheme="majorBidi" w:cstheme="majorBidi"/>
          <w:i/>
          <w:iCs/>
          <w:lang w:val="en-US" w:eastAsia="en-US"/>
        </w:rPr>
        <w:t xml:space="preserve"> </w:t>
      </w:r>
      <w:r w:rsidR="00260E05" w:rsidRPr="00914454">
        <w:rPr>
          <w:rFonts w:asciiTheme="majorBidi" w:eastAsiaTheme="minorHAnsi" w:hAnsiTheme="majorBidi" w:cstheme="majorBidi"/>
          <w:i/>
          <w:iCs/>
          <w:lang w:val="en-US" w:eastAsia="en-US"/>
        </w:rPr>
        <w:t>i</w:t>
      </w:r>
      <w:r w:rsidRPr="00914454">
        <w:rPr>
          <w:rFonts w:asciiTheme="majorBidi" w:eastAsiaTheme="minorHAnsi" w:hAnsiTheme="majorBidi" w:cstheme="majorBidi"/>
          <w:i/>
          <w:iCs/>
          <w:lang w:val="en-US" w:eastAsia="en-US"/>
        </w:rPr>
        <w:t>n vitro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 method was used to establish the effect of</w:t>
      </w:r>
      <w:r w:rsidR="004478B8" w:rsidRPr="00914454">
        <w:rPr>
          <w:rFonts w:asciiTheme="majorBidi" w:eastAsiaTheme="minorHAnsi" w:hAnsiTheme="majorBidi" w:cstheme="majorBidi"/>
          <w:lang w:val="en-US" w:eastAsia="en-US"/>
        </w:rPr>
        <w:t xml:space="preserve"> 5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FU on human colonic cancer SW-480 cell lines. The frozen cell line was withdrawn and maintained in </w:t>
      </w:r>
      <w:r w:rsidR="00E32F93" w:rsidRPr="00914454">
        <w:rPr>
          <w:rFonts w:asciiTheme="majorBidi" w:eastAsiaTheme="minorHAnsi" w:hAnsiTheme="majorBidi" w:cstheme="majorBidi"/>
          <w:lang w:val="en-US" w:eastAsia="en-US"/>
        </w:rPr>
        <w:t>EME culture medium containing 5</w:t>
      </w:r>
      <w:r w:rsidRPr="00914454">
        <w:rPr>
          <w:rFonts w:asciiTheme="majorBidi" w:eastAsiaTheme="minorHAnsi" w:hAnsiTheme="majorBidi" w:cstheme="majorBidi"/>
          <w:lang w:val="en-US" w:eastAsia="en-US"/>
        </w:rPr>
        <w:t>% fetal bovine serum (FBS)</w:t>
      </w:r>
      <w:r w:rsidR="00D4757A" w:rsidRPr="00914454">
        <w:rPr>
          <w:rFonts w:asciiTheme="majorBidi" w:eastAsiaTheme="minorHAnsi" w:hAnsiTheme="majorBidi" w:cstheme="majorBidi"/>
          <w:lang w:val="en-US" w:eastAsia="en-US"/>
        </w:rPr>
        <w:t xml:space="preserve"> and antibiotics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. When the cell culture forms a monolayer, it was treated with trypsin-EDTA and cell suspension was seeded in a micro titration plates at </w:t>
      </w:r>
      <w:r w:rsidR="00812A22" w:rsidRPr="00914454">
        <w:rPr>
          <w:lang w:bidi="ar-IQ"/>
        </w:rPr>
        <w:t>5x</w:t>
      </w:r>
      <w:r w:rsidR="00CC1024" w:rsidRPr="00914454">
        <w:rPr>
          <w:lang w:bidi="ar-IQ"/>
        </w:rPr>
        <w:t>10</w:t>
      </w:r>
      <w:r w:rsidR="00CC1024" w:rsidRPr="00914454">
        <w:rPr>
          <w:vertAlign w:val="superscript"/>
          <w:lang w:bidi="ar-IQ"/>
        </w:rPr>
        <w:t>5</w:t>
      </w:r>
      <w:r w:rsidR="00D4757A" w:rsidRPr="00914454">
        <w:rPr>
          <w:lang w:bidi="ar-IQ"/>
        </w:rPr>
        <w:t xml:space="preserve"> 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cells/ml </w:t>
      </w:r>
      <w:r w:rsidR="00260E05" w:rsidRPr="00914454">
        <w:rPr>
          <w:rFonts w:asciiTheme="majorBidi" w:eastAsiaTheme="minorHAnsi" w:hAnsiTheme="majorBidi" w:cstheme="majorBidi"/>
          <w:lang w:val="en-US" w:eastAsia="en-US"/>
        </w:rPr>
        <w:t xml:space="preserve">. 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Plates then incubated </w:t>
      </w:r>
      <w:r w:rsidR="00260E05" w:rsidRPr="00914454">
        <w:rPr>
          <w:rFonts w:asciiTheme="majorBidi" w:eastAsiaTheme="minorHAnsi" w:hAnsiTheme="majorBidi" w:cstheme="majorBidi"/>
          <w:lang w:val="en-US" w:eastAsia="en-US"/>
        </w:rPr>
        <w:t>at 37º C</w:t>
      </w:r>
      <w:r w:rsidR="00D4757A" w:rsidRPr="00914454">
        <w:rPr>
          <w:rFonts w:asciiTheme="majorBidi" w:eastAsiaTheme="minorHAnsi" w:hAnsiTheme="majorBidi" w:cstheme="majorBidi"/>
          <w:lang w:val="en-US" w:eastAsia="en-US"/>
        </w:rPr>
        <w:t xml:space="preserve"> until the growth become 80% of confluence</w:t>
      </w:r>
      <w:r w:rsidR="00260E05" w:rsidRPr="00914454">
        <w:rPr>
          <w:rFonts w:asciiTheme="majorBidi" w:eastAsiaTheme="minorHAnsi" w:hAnsiTheme="majorBidi" w:cstheme="majorBidi"/>
          <w:lang w:val="en-US" w:eastAsia="en-US"/>
        </w:rPr>
        <w:t>. T</w:t>
      </w:r>
      <w:r w:rsidRPr="00914454">
        <w:rPr>
          <w:rFonts w:asciiTheme="majorBidi" w:eastAsiaTheme="minorHAnsi" w:hAnsiTheme="majorBidi" w:cstheme="majorBidi"/>
          <w:lang w:val="en-US" w:eastAsia="en-US"/>
        </w:rPr>
        <w:t>wo-fold serial dilutions</w:t>
      </w:r>
      <w:r w:rsidR="00D4757A" w:rsidRPr="00914454">
        <w:rPr>
          <w:rFonts w:asciiTheme="majorBidi" w:eastAsiaTheme="minorHAnsi" w:hAnsiTheme="majorBidi" w:cstheme="majorBidi"/>
          <w:lang w:val="en-US" w:eastAsia="en-US"/>
        </w:rPr>
        <w:t xml:space="preserve"> of 5FU was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 prepared (80, 40, 20, 10, 5, 2.5, 1.25 </w:t>
      </w:r>
      <w:proofErr w:type="spellStart"/>
      <w:r w:rsidRPr="00914454">
        <w:rPr>
          <w:rFonts w:asciiTheme="majorBidi" w:eastAsiaTheme="minorHAnsi" w:hAnsiTheme="majorBidi" w:cstheme="majorBidi"/>
          <w:lang w:val="en-US" w:eastAsia="en-US"/>
        </w:rPr>
        <w:t>μg</w:t>
      </w:r>
      <w:proofErr w:type="spellEnd"/>
      <w:r w:rsidRPr="00914454">
        <w:rPr>
          <w:rFonts w:asciiTheme="majorBidi" w:eastAsiaTheme="minorHAnsi" w:hAnsiTheme="majorBidi" w:cstheme="majorBidi"/>
          <w:lang w:val="en-US" w:eastAsia="en-US"/>
        </w:rPr>
        <w:t>/ml). Concisely Five-replicates in the micro titration plate were exposed to 200</w:t>
      </w:r>
      <w:r w:rsidR="004478B8" w:rsidRPr="00914454">
        <w:rPr>
          <w:rFonts w:asciiTheme="majorBidi" w:eastAsiaTheme="minorHAnsi" w:hAnsiTheme="majorBidi" w:cstheme="majorBidi"/>
          <w:lang w:val="en-US" w:eastAsia="en-US"/>
        </w:rPr>
        <w:t xml:space="preserve"> </w:t>
      </w:r>
      <w:proofErr w:type="spellStart"/>
      <w:r w:rsidR="004478B8" w:rsidRPr="00914454">
        <w:rPr>
          <w:rFonts w:asciiTheme="majorBidi" w:eastAsiaTheme="minorHAnsi" w:hAnsiTheme="majorBidi" w:cstheme="majorBidi"/>
          <w:lang w:val="en-US" w:eastAsia="en-US"/>
        </w:rPr>
        <w:t>μl</w:t>
      </w:r>
      <w:proofErr w:type="spellEnd"/>
      <w:r w:rsidR="004478B8" w:rsidRPr="00914454">
        <w:rPr>
          <w:rFonts w:asciiTheme="majorBidi" w:eastAsiaTheme="minorHAnsi" w:hAnsiTheme="majorBidi" w:cstheme="majorBidi"/>
          <w:lang w:val="en-US" w:eastAsia="en-US"/>
        </w:rPr>
        <w:t xml:space="preserve"> of each concentrations of 5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FU during the log phase of growth  and 200 </w:t>
      </w:r>
      <w:proofErr w:type="spellStart"/>
      <w:r w:rsidRPr="00914454">
        <w:rPr>
          <w:rFonts w:asciiTheme="majorBidi" w:eastAsiaTheme="minorHAnsi" w:hAnsiTheme="majorBidi" w:cstheme="majorBidi"/>
          <w:lang w:val="en-US" w:eastAsia="en-US"/>
        </w:rPr>
        <w:t>μl</w:t>
      </w:r>
      <w:proofErr w:type="spellEnd"/>
      <w:r w:rsidRPr="00914454">
        <w:rPr>
          <w:rFonts w:asciiTheme="majorBidi" w:eastAsiaTheme="minorHAnsi" w:hAnsiTheme="majorBidi" w:cstheme="majorBidi"/>
          <w:lang w:val="en-US" w:eastAsia="en-US"/>
        </w:rPr>
        <w:t xml:space="preserve"> of maintenance medium was added to each well of control group.  The plates wer</w:t>
      </w:r>
      <w:r w:rsidR="001F4ECE" w:rsidRPr="00914454">
        <w:rPr>
          <w:rFonts w:asciiTheme="majorBidi" w:eastAsiaTheme="minorHAnsi" w:hAnsiTheme="majorBidi" w:cstheme="majorBidi"/>
          <w:lang w:val="en-US" w:eastAsia="en-US"/>
        </w:rPr>
        <w:t xml:space="preserve">e </w:t>
      </w:r>
      <w:r w:rsidR="0041062C" w:rsidRPr="00914454">
        <w:rPr>
          <w:rFonts w:asciiTheme="majorBidi" w:eastAsiaTheme="minorHAnsi" w:hAnsiTheme="majorBidi" w:cstheme="majorBidi"/>
          <w:lang w:val="en-US" w:eastAsia="en-US"/>
        </w:rPr>
        <w:t>covered with lids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 and returned to the incubator at 37º C for 12h</w:t>
      </w:r>
      <w:r w:rsidR="004644FB" w:rsidRPr="00914454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4644FB" w:rsidRPr="00914454">
        <w:rPr>
          <w:rFonts w:asciiTheme="majorBidi" w:eastAsiaTheme="minorHAnsi" w:hAnsiTheme="majorBidi" w:cstheme="majorBidi"/>
          <w:lang w:val="en-US" w:eastAsia="en-US" w:bidi="ar-IQ"/>
        </w:rPr>
        <w:t>8</w:t>
      </w:r>
      <w:r w:rsidR="004644FB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Pr="00914454">
        <w:rPr>
          <w:rFonts w:asciiTheme="majorBidi" w:eastAsiaTheme="minorHAnsi" w:hAnsiTheme="majorBidi" w:cstheme="majorBidi"/>
          <w:lang w:val="en-US" w:eastAsia="en-US"/>
        </w:rPr>
        <w:t>. After the end of the exposure period,</w:t>
      </w:r>
      <w:r w:rsidR="001F4ECE" w:rsidRPr="00914454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0A3E31" w:rsidRPr="00914454">
        <w:rPr>
          <w:rFonts w:asciiTheme="majorBidi" w:eastAsiaTheme="minorHAnsi" w:hAnsiTheme="majorBidi" w:cstheme="majorBidi"/>
          <w:lang w:val="en-US" w:eastAsia="en-US"/>
        </w:rPr>
        <w:t xml:space="preserve">the medium was decanted off and the culture wells washed gently and </w:t>
      </w:r>
      <w:proofErr w:type="spellStart"/>
      <w:r w:rsidR="000A3E31" w:rsidRPr="00914454">
        <w:rPr>
          <w:rFonts w:asciiTheme="majorBidi" w:eastAsiaTheme="minorHAnsi" w:hAnsiTheme="majorBidi" w:cstheme="majorBidi"/>
          <w:lang w:val="en-US" w:eastAsia="en-US"/>
        </w:rPr>
        <w:t>twicely</w:t>
      </w:r>
      <w:proofErr w:type="spellEnd"/>
      <w:r w:rsidR="000A3E31" w:rsidRPr="00914454">
        <w:rPr>
          <w:rFonts w:asciiTheme="majorBidi" w:eastAsiaTheme="minorHAnsi" w:hAnsiTheme="majorBidi" w:cstheme="majorBidi"/>
          <w:lang w:val="en-US" w:eastAsia="en-US"/>
        </w:rPr>
        <w:t xml:space="preserve"> with phosphate buffer saline (PBS) followed by 10% formalin fixation for twenty minutes.</w:t>
      </w:r>
      <w:r w:rsidR="00812A22" w:rsidRPr="00914454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0A3E31" w:rsidRPr="00914454">
        <w:rPr>
          <w:rFonts w:asciiTheme="majorBidi" w:eastAsiaTheme="minorHAnsi" w:hAnsiTheme="majorBidi" w:cstheme="majorBidi"/>
          <w:lang w:val="en-US" w:eastAsia="en-US"/>
        </w:rPr>
        <w:t>Then</w:t>
      </w:r>
      <w:r w:rsidR="001F4ECE" w:rsidRPr="00914454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0A3E31" w:rsidRPr="00914454">
        <w:rPr>
          <w:rFonts w:asciiTheme="majorBidi" w:eastAsiaTheme="minorHAnsi" w:hAnsiTheme="majorBidi" w:cstheme="majorBidi"/>
          <w:lang w:val="en-US" w:eastAsia="en-US"/>
        </w:rPr>
        <w:t xml:space="preserve">the </w:t>
      </w:r>
      <w:r w:rsidR="00544895" w:rsidRPr="00914454">
        <w:rPr>
          <w:rFonts w:asciiTheme="majorBidi" w:eastAsiaTheme="minorHAnsi" w:hAnsiTheme="majorBidi" w:cstheme="majorBidi"/>
          <w:lang w:val="en-US" w:eastAsia="en-US"/>
        </w:rPr>
        <w:t>formalin</w:t>
      </w:r>
      <w:r w:rsidR="000A3E31" w:rsidRPr="00914454">
        <w:rPr>
          <w:rFonts w:asciiTheme="majorBidi" w:eastAsiaTheme="minorHAnsi" w:hAnsiTheme="majorBidi" w:cstheme="majorBidi"/>
          <w:lang w:val="en-US" w:eastAsia="en-US"/>
        </w:rPr>
        <w:t xml:space="preserve"> solution washed out and replaced by</w:t>
      </w:r>
      <w:r w:rsidR="001F4ECE" w:rsidRPr="00914454">
        <w:rPr>
          <w:rFonts w:asciiTheme="majorBidi" w:eastAsiaTheme="minorHAnsi" w:hAnsiTheme="majorBidi" w:cstheme="majorBidi"/>
          <w:lang w:val="en-US" w:eastAsia="en-US"/>
        </w:rPr>
        <w:t>1</w:t>
      </w:r>
      <w:r w:rsidRPr="00914454">
        <w:rPr>
          <w:rFonts w:asciiTheme="majorBidi" w:eastAsiaTheme="minorHAnsi" w:hAnsiTheme="majorBidi" w:cstheme="majorBidi"/>
          <w:lang w:val="en-US" w:eastAsia="en-US"/>
        </w:rPr>
        <w:t>00</w:t>
      </w:r>
      <w:r w:rsidR="000A3E31" w:rsidRPr="00914454">
        <w:rPr>
          <w:rFonts w:asciiTheme="majorBidi" w:eastAsiaTheme="minorHAnsi" w:hAnsiTheme="majorBidi" w:cstheme="majorBidi"/>
          <w:lang w:val="en-US" w:eastAsia="en-US"/>
        </w:rPr>
        <w:t xml:space="preserve"> </w:t>
      </w:r>
      <w:proofErr w:type="spellStart"/>
      <w:r w:rsidR="000A3E31" w:rsidRPr="00914454">
        <w:rPr>
          <w:rFonts w:asciiTheme="majorBidi" w:eastAsiaTheme="minorHAnsi" w:hAnsiTheme="majorBidi" w:cstheme="majorBidi"/>
          <w:lang w:val="en-US" w:eastAsia="en-US"/>
        </w:rPr>
        <w:t>μg</w:t>
      </w:r>
      <w:proofErr w:type="spellEnd"/>
      <w:r w:rsidRPr="00914454">
        <w:rPr>
          <w:rFonts w:asciiTheme="majorBidi" w:eastAsiaTheme="minorHAnsi" w:hAnsiTheme="majorBidi" w:cstheme="majorBidi"/>
          <w:lang w:val="en-US" w:eastAsia="en-US"/>
        </w:rPr>
        <w:t xml:space="preserve"> of 0.01% crystal violet dye. After 20 min the remaining </w:t>
      </w:r>
      <w:r w:rsidRPr="00914454">
        <w:rPr>
          <w:rFonts w:asciiTheme="majorBidi" w:eastAsiaTheme="minorHAnsi" w:hAnsiTheme="majorBidi" w:cstheme="majorBidi"/>
          <w:lang w:val="en-US" w:eastAsia="en-US"/>
        </w:rPr>
        <w:lastRenderedPageBreak/>
        <w:t xml:space="preserve">stain was washed gently with tap water for three times. The plate was left until become dry. </w:t>
      </w:r>
      <w:r w:rsidR="001F4ECE" w:rsidRPr="00914454">
        <w:rPr>
          <w:rFonts w:asciiTheme="majorBidi" w:eastAsiaTheme="minorHAnsi" w:hAnsiTheme="majorBidi" w:cstheme="majorBidi"/>
          <w:lang w:val="en-US" w:eastAsia="en-US"/>
        </w:rPr>
        <w:t xml:space="preserve">Then 200 </w:t>
      </w:r>
      <w:proofErr w:type="spellStart"/>
      <w:r w:rsidR="001F4ECE" w:rsidRPr="00914454">
        <w:rPr>
          <w:rFonts w:asciiTheme="majorBidi" w:eastAsiaTheme="minorHAnsi" w:hAnsiTheme="majorBidi" w:cstheme="majorBidi"/>
          <w:lang w:val="en-US" w:eastAsia="en-US"/>
        </w:rPr>
        <w:t>μl</w:t>
      </w:r>
      <w:proofErr w:type="spellEnd"/>
      <w:r w:rsidR="001F4ECE" w:rsidRPr="00914454">
        <w:rPr>
          <w:rFonts w:asciiTheme="majorBidi" w:eastAsiaTheme="minorHAnsi" w:hAnsiTheme="majorBidi" w:cstheme="majorBidi"/>
          <w:lang w:val="en-US" w:eastAsia="en-US"/>
        </w:rPr>
        <w:t xml:space="preserve"> of 70% ethanol was added to each wel</w:t>
      </w:r>
      <w:r w:rsidR="00812A22" w:rsidRPr="00914454">
        <w:rPr>
          <w:rFonts w:asciiTheme="majorBidi" w:eastAsiaTheme="minorHAnsi" w:hAnsiTheme="majorBidi" w:cstheme="majorBidi"/>
          <w:lang w:val="en-US" w:eastAsia="en-US"/>
        </w:rPr>
        <w:t xml:space="preserve">l and rocked gently until the </w:t>
      </w:r>
      <w:r w:rsidR="00AE2B93" w:rsidRPr="00914454">
        <w:rPr>
          <w:rFonts w:asciiTheme="majorBidi" w:eastAsiaTheme="minorHAnsi" w:hAnsiTheme="majorBidi" w:cstheme="majorBidi"/>
          <w:lang w:val="en-US" w:eastAsia="en-US"/>
        </w:rPr>
        <w:t xml:space="preserve">solubility </w:t>
      </w:r>
      <w:r w:rsidR="00812A22" w:rsidRPr="00914454">
        <w:rPr>
          <w:rFonts w:asciiTheme="majorBidi" w:eastAsiaTheme="minorHAnsi" w:hAnsiTheme="majorBidi" w:cstheme="majorBidi"/>
          <w:lang w:val="en-US" w:eastAsia="en-US"/>
        </w:rPr>
        <w:t>C</w:t>
      </w:r>
      <w:r w:rsidR="00AE2B93" w:rsidRPr="00914454">
        <w:rPr>
          <w:rFonts w:asciiTheme="majorBidi" w:eastAsiaTheme="minorHAnsi" w:hAnsiTheme="majorBidi" w:cstheme="majorBidi"/>
          <w:lang w:val="en-US" w:eastAsia="en-US"/>
        </w:rPr>
        <w:t>V dye</w:t>
      </w:r>
      <w:r w:rsidR="001F4ECE" w:rsidRPr="00914454">
        <w:rPr>
          <w:rFonts w:asciiTheme="majorBidi" w:eastAsiaTheme="minorHAnsi" w:hAnsiTheme="majorBidi" w:cstheme="majorBidi"/>
          <w:lang w:val="en-US" w:eastAsia="en-US"/>
        </w:rPr>
        <w:t xml:space="preserve">. </w:t>
      </w:r>
      <w:r w:rsidRPr="00914454">
        <w:rPr>
          <w:rFonts w:asciiTheme="majorBidi" w:eastAsiaTheme="minorHAnsi" w:hAnsiTheme="majorBidi" w:cstheme="majorBidi"/>
          <w:lang w:val="en-US" w:eastAsia="en-US"/>
        </w:rPr>
        <w:t>The optical density of each wel</w:t>
      </w:r>
      <w:r w:rsidR="00544895" w:rsidRPr="00914454">
        <w:rPr>
          <w:rFonts w:asciiTheme="majorBidi" w:eastAsiaTheme="minorHAnsi" w:hAnsiTheme="majorBidi" w:cstheme="majorBidi"/>
          <w:lang w:val="en-US" w:eastAsia="en-US"/>
        </w:rPr>
        <w:t xml:space="preserve">l was measured by using </w:t>
      </w:r>
      <w:r w:rsidRPr="00914454">
        <w:rPr>
          <w:rFonts w:asciiTheme="majorBidi" w:eastAsiaTheme="minorHAnsi" w:hAnsiTheme="majorBidi" w:cstheme="majorBidi"/>
          <w:lang w:val="en-US" w:eastAsia="en-US"/>
        </w:rPr>
        <w:t>ELISA reader at 570 nm</w:t>
      </w:r>
      <w:r w:rsidR="003458CC" w:rsidRPr="00914454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3458CC" w:rsidRPr="00914454">
        <w:rPr>
          <w:rFonts w:asciiTheme="majorBidi" w:eastAsiaTheme="minorHAnsi" w:hAnsiTheme="majorBidi" w:cstheme="majorBidi"/>
          <w:lang w:val="en-US" w:eastAsia="en-US" w:bidi="ar-IQ"/>
        </w:rPr>
        <w:t>9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Pr="00914454">
        <w:rPr>
          <w:rFonts w:asciiTheme="majorBidi" w:eastAsiaTheme="minorHAnsi" w:hAnsiTheme="majorBidi" w:cstheme="majorBidi"/>
          <w:lang w:val="en-US" w:eastAsia="en-US"/>
        </w:rPr>
        <w:t xml:space="preserve">.  The percentage of inhibition was calculated according to the following equation 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3458CC" w:rsidRPr="00914454">
        <w:rPr>
          <w:rFonts w:asciiTheme="majorBidi" w:eastAsiaTheme="minorHAnsi" w:hAnsiTheme="majorBidi" w:cstheme="majorBidi"/>
          <w:lang w:val="en-US" w:eastAsia="en-US" w:bidi="ar-IQ"/>
        </w:rPr>
        <w:t>10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: [</w:t>
      </w:r>
    </w:p>
    <w:p w:rsidR="00842528" w:rsidRPr="000F2B74" w:rsidRDefault="00842528" w:rsidP="000F2B74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val="en-US" w:eastAsia="en-US"/>
        </w:rPr>
      </w:pPr>
      <w:r w:rsidRPr="00914454">
        <w:t>Inhibition</w:t>
      </w:r>
      <w:r w:rsidRPr="00914454">
        <w:rPr>
          <w:lang w:val="en-US" w:eastAsia="en-US"/>
        </w:rPr>
        <w:t xml:space="preserve"> % = </w:t>
      </w:r>
      <w:r w:rsidRPr="00914454">
        <w:rPr>
          <w:rFonts w:hint="cs"/>
          <w:rtl/>
          <w:lang w:val="en-US" w:eastAsia="en-US" w:bidi="ar-IQ"/>
        </w:rPr>
        <w:t>]</w:t>
      </w:r>
      <w:r w:rsidRPr="00914454">
        <w:rPr>
          <w:lang w:val="en-US" w:eastAsia="en-US" w:bidi="ar-IQ"/>
        </w:rPr>
        <w:t>(</w:t>
      </w:r>
      <w:r w:rsidRPr="00914454">
        <w:rPr>
          <w:lang w:val="en-US" w:eastAsia="en-US"/>
        </w:rPr>
        <w:t>op</w:t>
      </w:r>
      <w:r w:rsidR="00544895" w:rsidRPr="00914454">
        <w:rPr>
          <w:lang w:val="en-US" w:eastAsia="en-US"/>
        </w:rPr>
        <w:t>tical density of control wells ˗</w:t>
      </w:r>
      <w:r w:rsidRPr="00914454">
        <w:rPr>
          <w:lang w:val="en-US" w:eastAsia="en-US"/>
        </w:rPr>
        <w:t xml:space="preserve"> optical density of test    wells) / optical density of control wells</w:t>
      </w:r>
      <w:r w:rsidRPr="00914454">
        <w:rPr>
          <w:rFonts w:hint="cs"/>
          <w:rtl/>
          <w:lang w:val="en-US" w:eastAsia="en-US" w:bidi="ar-IQ"/>
        </w:rPr>
        <w:t>[</w:t>
      </w:r>
      <w:r w:rsidRPr="00914454">
        <w:rPr>
          <w:lang w:val="en-US" w:eastAsia="en-US"/>
        </w:rPr>
        <w:t xml:space="preserve"> X 100.</w:t>
      </w:r>
    </w:p>
    <w:p w:rsidR="00842528" w:rsidRPr="00914454" w:rsidRDefault="00842528" w:rsidP="0045515C">
      <w:pPr>
        <w:pStyle w:val="a3"/>
        <w:numPr>
          <w:ilvl w:val="0"/>
          <w:numId w:val="1"/>
        </w:numPr>
        <w:tabs>
          <w:tab w:val="righ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lang w:val="en-US" w:eastAsia="en-US"/>
        </w:rPr>
      </w:pPr>
      <w:r w:rsidRPr="00914454">
        <w:rPr>
          <w:b/>
          <w:bCs/>
          <w:lang w:val="en-US" w:eastAsia="en-US"/>
        </w:rPr>
        <w:t xml:space="preserve">Determination of glucose level in SW-480 cell line </w:t>
      </w:r>
    </w:p>
    <w:p w:rsidR="00842528" w:rsidRPr="00914454" w:rsidRDefault="00842528" w:rsidP="00544895">
      <w:pPr>
        <w:autoSpaceDE w:val="0"/>
        <w:autoSpaceDN w:val="0"/>
        <w:adjustRightInd w:val="0"/>
        <w:jc w:val="both"/>
        <w:rPr>
          <w:lang w:val="en-US" w:eastAsia="en-US"/>
        </w:rPr>
      </w:pPr>
      <w:r w:rsidRPr="00914454">
        <w:rPr>
          <w:lang w:val="en-US" w:eastAsia="en-US"/>
        </w:rPr>
        <w:t xml:space="preserve">      Glucose concentration was determined in the culture medium of SW- 480 cell wells </w:t>
      </w:r>
      <w:r w:rsidR="007E2BD0" w:rsidRPr="00914454">
        <w:rPr>
          <w:lang w:val="en-US" w:eastAsia="en-US"/>
        </w:rPr>
        <w:t xml:space="preserve">before and </w:t>
      </w:r>
      <w:r w:rsidRPr="00914454">
        <w:rPr>
          <w:lang w:val="en-US" w:eastAsia="en-US"/>
        </w:rPr>
        <w:t>after the end of exposure time for treatment wit</w:t>
      </w:r>
      <w:r w:rsidR="00914454" w:rsidRPr="00914454">
        <w:rPr>
          <w:lang w:val="en-US" w:eastAsia="en-US"/>
        </w:rPr>
        <w:t>h different concentrations of 5</w:t>
      </w:r>
      <w:r w:rsidRPr="00914454">
        <w:rPr>
          <w:lang w:val="en-US" w:eastAsia="en-US"/>
        </w:rPr>
        <w:t xml:space="preserve">FU directly by </w:t>
      </w:r>
      <w:r w:rsidR="00544895" w:rsidRPr="00914454">
        <w:rPr>
          <w:lang w:val="en-US" w:eastAsia="en-US"/>
        </w:rPr>
        <w:t>digital</w:t>
      </w:r>
      <w:r w:rsidRPr="00914454">
        <w:rPr>
          <w:lang w:val="en-US" w:eastAsia="en-US"/>
        </w:rPr>
        <w:t xml:space="preserve"> glucose analyzer</w:t>
      </w:r>
      <w:r w:rsidR="00544895" w:rsidRPr="00914454">
        <w:rPr>
          <w:lang w:val="en-US" w:eastAsia="en-US"/>
        </w:rPr>
        <w:t xml:space="preserve"> according to the manufacture procedure </w:t>
      </w:r>
      <w:r w:rsidRPr="00914454">
        <w:rPr>
          <w:lang w:val="en-US" w:eastAsia="en-US"/>
        </w:rPr>
        <w:t>.</w:t>
      </w:r>
    </w:p>
    <w:p w:rsidR="00812A22" w:rsidRPr="00914454" w:rsidRDefault="00812A22" w:rsidP="003458CC">
      <w:pPr>
        <w:autoSpaceDE w:val="0"/>
        <w:autoSpaceDN w:val="0"/>
        <w:adjustRightInd w:val="0"/>
        <w:jc w:val="both"/>
        <w:rPr>
          <w:lang w:eastAsia="en-US"/>
        </w:rPr>
      </w:pPr>
      <w:r w:rsidRPr="00914454">
        <w:rPr>
          <w:rFonts w:asciiTheme="majorBidi" w:hAnsiTheme="majorBidi" w:cstheme="majorBidi"/>
        </w:rPr>
        <w:t>Results are presented as mean ± standard deviation (SD)</w:t>
      </w:r>
      <w:r w:rsidRPr="00914454">
        <w:rPr>
          <w:rFonts w:asciiTheme="majorBidi" w:hAnsiTheme="majorBidi" w:cstheme="majorBidi"/>
          <w:lang w:bidi="ar-IQ"/>
        </w:rPr>
        <w:t xml:space="preserve">. </w:t>
      </w:r>
      <w:r w:rsidR="003458CC" w:rsidRPr="00914454">
        <w:rPr>
          <w:rFonts w:asciiTheme="majorBidi" w:hAnsiTheme="majorBidi" w:cstheme="majorBidi"/>
        </w:rPr>
        <w:t>The t-test was used and a</w:t>
      </w:r>
      <w:r w:rsidRPr="00914454">
        <w:rPr>
          <w:rFonts w:asciiTheme="majorBidi" w:hAnsiTheme="majorBidi" w:cstheme="majorBidi"/>
        </w:rPr>
        <w:t xml:space="preserve"> differences was considered to be significant at P&lt;0.05 level and is represented by (*).</w:t>
      </w:r>
    </w:p>
    <w:p w:rsidR="00842528" w:rsidRPr="00914454" w:rsidRDefault="00842528" w:rsidP="00842528">
      <w:pPr>
        <w:jc w:val="both"/>
        <w:rPr>
          <w:lang w:val="en-US" w:bidi="ar-IQ"/>
        </w:rPr>
      </w:pPr>
    </w:p>
    <w:p w:rsidR="00842528" w:rsidRPr="00914454" w:rsidRDefault="00842528" w:rsidP="00842528">
      <w:pPr>
        <w:spacing w:line="276" w:lineRule="auto"/>
        <w:jc w:val="both"/>
        <w:rPr>
          <w:b/>
          <w:bCs/>
          <w:u w:val="single"/>
          <w:lang w:bidi="ar-IQ"/>
        </w:rPr>
      </w:pPr>
      <w:r w:rsidRPr="00914454">
        <w:rPr>
          <w:b/>
          <w:bCs/>
          <w:u w:val="single"/>
          <w:lang w:bidi="ar-IQ"/>
        </w:rPr>
        <w:t>Results</w:t>
      </w:r>
    </w:p>
    <w:p w:rsidR="00842528" w:rsidRPr="00914454" w:rsidRDefault="00914454" w:rsidP="00842528">
      <w:pPr>
        <w:jc w:val="both"/>
        <w:rPr>
          <w:b/>
          <w:bCs/>
          <w:lang w:bidi="ar-IQ"/>
        </w:rPr>
      </w:pPr>
      <w:r>
        <w:rPr>
          <w:b/>
          <w:bCs/>
          <w:lang w:bidi="ar-IQ"/>
        </w:rPr>
        <w:t>1-</w:t>
      </w:r>
      <w:r w:rsidR="00842528" w:rsidRPr="00914454">
        <w:rPr>
          <w:b/>
          <w:bCs/>
          <w:lang w:bidi="ar-IQ"/>
        </w:rPr>
        <w:t xml:space="preserve">Effects </w:t>
      </w:r>
      <w:r w:rsidRPr="00914454">
        <w:rPr>
          <w:b/>
          <w:bCs/>
          <w:lang w:bidi="ar-IQ"/>
        </w:rPr>
        <w:t>of 5</w:t>
      </w:r>
      <w:r w:rsidR="00842528" w:rsidRPr="00914454">
        <w:rPr>
          <w:b/>
          <w:bCs/>
          <w:lang w:bidi="ar-IQ"/>
        </w:rPr>
        <w:t>FU on SW-480 cell line</w:t>
      </w:r>
    </w:p>
    <w:p w:rsidR="00842528" w:rsidRDefault="00842528" w:rsidP="00842528">
      <w:pPr>
        <w:jc w:val="both"/>
        <w:rPr>
          <w:lang w:bidi="ar-IQ"/>
        </w:rPr>
      </w:pPr>
      <w:r w:rsidRPr="00914454">
        <w:rPr>
          <w:lang w:bidi="ar-IQ"/>
        </w:rPr>
        <w:t xml:space="preserve">      Table (1) </w:t>
      </w:r>
      <w:proofErr w:type="spellStart"/>
      <w:r w:rsidR="00914454" w:rsidRPr="00914454">
        <w:rPr>
          <w:lang w:bidi="ar-IQ"/>
        </w:rPr>
        <w:t>showes</w:t>
      </w:r>
      <w:proofErr w:type="spellEnd"/>
      <w:r w:rsidRPr="00914454">
        <w:rPr>
          <w:lang w:bidi="ar-IQ"/>
        </w:rPr>
        <w:t xml:space="preserve"> the inhibition percent of SW-480 cell line for different</w:t>
      </w:r>
      <w:r w:rsidR="00914454" w:rsidRPr="00914454">
        <w:rPr>
          <w:lang w:bidi="ar-IQ"/>
        </w:rPr>
        <w:t xml:space="preserve"> concentrations of 5</w:t>
      </w:r>
      <w:r w:rsidRPr="00914454">
        <w:rPr>
          <w:lang w:bidi="ar-IQ"/>
        </w:rPr>
        <w:t>FU (0.25, 2.5, 10, 5, 20, 40, 80 µg/ml) after 12h of incubation. It increased significantly (P&lt;0.05) with increasing the concen</w:t>
      </w:r>
      <w:r w:rsidR="00914454" w:rsidRPr="00914454">
        <w:rPr>
          <w:lang w:bidi="ar-IQ"/>
        </w:rPr>
        <w:t>tration of 5</w:t>
      </w:r>
      <w:r w:rsidRPr="00914454">
        <w:rPr>
          <w:lang w:bidi="ar-IQ"/>
        </w:rPr>
        <w:t xml:space="preserve">FU above 2.5µg/ ml as compared with the </w:t>
      </w:r>
      <w:r w:rsidR="00D553A4" w:rsidRPr="00914454">
        <w:rPr>
          <w:lang w:bidi="ar-IQ"/>
        </w:rPr>
        <w:t>control group</w:t>
      </w:r>
      <w:r w:rsidR="00914454" w:rsidRPr="00914454">
        <w:rPr>
          <w:lang w:bidi="ar-IQ"/>
        </w:rPr>
        <w:t xml:space="preserve"> (5</w:t>
      </w:r>
      <w:r w:rsidRPr="00914454">
        <w:rPr>
          <w:lang w:bidi="ar-IQ"/>
        </w:rPr>
        <w:t xml:space="preserve">FU concentration = 0). </w:t>
      </w:r>
      <w:r w:rsidR="00914454" w:rsidRPr="00914454">
        <w:rPr>
          <w:lang w:bidi="ar-IQ"/>
        </w:rPr>
        <w:t>Whereas low concentrations of 5</w:t>
      </w:r>
      <w:r w:rsidRPr="00914454">
        <w:rPr>
          <w:lang w:bidi="ar-IQ"/>
        </w:rPr>
        <w:t>FU produce non-significant (P&gt;0.05) increments in inhibition percent.</w:t>
      </w:r>
    </w:p>
    <w:p w:rsidR="0045515C" w:rsidRDefault="0045515C" w:rsidP="00842528">
      <w:pPr>
        <w:jc w:val="center"/>
        <w:rPr>
          <w:b/>
          <w:bCs/>
          <w:lang w:bidi="ar-IQ"/>
        </w:rPr>
        <w:sectPr w:rsidR="0045515C" w:rsidSect="0045515C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p w:rsidR="00842528" w:rsidRPr="00914454" w:rsidRDefault="00842528" w:rsidP="00842528">
      <w:pPr>
        <w:jc w:val="center"/>
        <w:rPr>
          <w:b/>
          <w:bCs/>
          <w:lang w:bidi="ar-IQ"/>
        </w:rPr>
      </w:pPr>
    </w:p>
    <w:p w:rsidR="000F2B74" w:rsidRDefault="000F2B74" w:rsidP="0045515C">
      <w:pPr>
        <w:rPr>
          <w:b/>
          <w:bCs/>
          <w:u w:val="single"/>
          <w:lang w:bidi="ar-IQ"/>
        </w:rPr>
      </w:pPr>
    </w:p>
    <w:p w:rsidR="000F2B74" w:rsidRDefault="000F2B74" w:rsidP="0045515C">
      <w:pPr>
        <w:rPr>
          <w:b/>
          <w:bCs/>
          <w:u w:val="single"/>
          <w:lang w:bidi="ar-IQ"/>
        </w:rPr>
      </w:pPr>
    </w:p>
    <w:p w:rsidR="000F2B74" w:rsidRDefault="000F2B74" w:rsidP="0045515C">
      <w:pPr>
        <w:rPr>
          <w:b/>
          <w:bCs/>
          <w:u w:val="single"/>
          <w:lang w:bidi="ar-IQ"/>
        </w:rPr>
      </w:pPr>
    </w:p>
    <w:p w:rsidR="00842528" w:rsidRPr="0045515C" w:rsidRDefault="0045515C" w:rsidP="0045515C">
      <w:pPr>
        <w:rPr>
          <w:lang w:bidi="ar-IQ"/>
        </w:rPr>
      </w:pPr>
      <w:r w:rsidRPr="0045515C">
        <w:rPr>
          <w:b/>
          <w:bCs/>
          <w:u w:val="single"/>
          <w:lang w:bidi="ar-IQ"/>
        </w:rPr>
        <w:lastRenderedPageBreak/>
        <w:t>Table 1</w:t>
      </w:r>
      <w:r w:rsidR="00842528" w:rsidRPr="00914454">
        <w:rPr>
          <w:b/>
          <w:bCs/>
          <w:lang w:bidi="ar-IQ"/>
        </w:rPr>
        <w:t xml:space="preserve"> </w:t>
      </w:r>
      <w:r w:rsidR="00842528" w:rsidRPr="0045515C">
        <w:rPr>
          <w:lang w:bidi="ar-IQ"/>
        </w:rPr>
        <w:t xml:space="preserve">Effect of the treatment with different </w:t>
      </w:r>
      <w:r w:rsidR="00914454" w:rsidRPr="0045515C">
        <w:rPr>
          <w:lang w:bidi="ar-IQ"/>
        </w:rPr>
        <w:t>concentrations of 5</w:t>
      </w:r>
      <w:r w:rsidR="00842528" w:rsidRPr="0045515C">
        <w:rPr>
          <w:lang w:bidi="ar-IQ"/>
        </w:rPr>
        <w:t>FU on the growth of SW-480 cell line after 12h of exposure.</w:t>
      </w:r>
    </w:p>
    <w:p w:rsidR="001F0A4B" w:rsidRPr="00914454" w:rsidRDefault="001F0A4B" w:rsidP="00842528">
      <w:pPr>
        <w:jc w:val="center"/>
        <w:rPr>
          <w:b/>
          <w:bCs/>
          <w:lang w:bidi="ar-IQ"/>
        </w:rPr>
      </w:pPr>
    </w:p>
    <w:tbl>
      <w:tblPr>
        <w:tblW w:w="6662" w:type="dxa"/>
        <w:tblInd w:w="959" w:type="dxa"/>
        <w:tblBorders>
          <w:top w:val="thinThickSmallGap" w:sz="24" w:space="0" w:color="595959"/>
          <w:left w:val="thinThickSmallGap" w:sz="24" w:space="0" w:color="595959"/>
          <w:bottom w:val="thickThinSmallGap" w:sz="24" w:space="0" w:color="595959"/>
          <w:right w:val="thickThinSmallGap" w:sz="24" w:space="0" w:color="595959"/>
          <w:insideH w:val="single" w:sz="6" w:space="0" w:color="595959"/>
          <w:insideV w:val="single" w:sz="6" w:space="0" w:color="595959"/>
        </w:tblBorders>
        <w:tblLook w:val="04A0"/>
      </w:tblPr>
      <w:tblGrid>
        <w:gridCol w:w="3260"/>
        <w:gridCol w:w="3402"/>
      </w:tblGrid>
      <w:tr w:rsidR="00842528" w:rsidRPr="00914454" w:rsidTr="00914454">
        <w:trPr>
          <w:trHeight w:val="1046"/>
        </w:trPr>
        <w:tc>
          <w:tcPr>
            <w:tcW w:w="3260" w:type="dxa"/>
            <w:tcBorders>
              <w:top w:val="thinThickSmallGap" w:sz="24" w:space="0" w:color="808080"/>
              <w:left w:val="thinThickSmallGap" w:sz="24" w:space="0" w:color="808080"/>
              <w:bottom w:val="double" w:sz="4" w:space="0" w:color="auto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b/>
                <w:bCs/>
                <w:lang w:bidi="ar-IQ"/>
              </w:rPr>
            </w:pPr>
          </w:p>
          <w:p w:rsidR="00842528" w:rsidRPr="00914454" w:rsidRDefault="00842528" w:rsidP="009C6212">
            <w:pPr>
              <w:jc w:val="center"/>
              <w:rPr>
                <w:b/>
                <w:bCs/>
                <w:lang w:bidi="ar-IQ"/>
              </w:rPr>
            </w:pPr>
            <w:r w:rsidRPr="00914454">
              <w:rPr>
                <w:b/>
                <w:bCs/>
                <w:lang w:bidi="ar-IQ"/>
              </w:rPr>
              <w:t>5-FU conc. (µg/ ml)</w:t>
            </w:r>
          </w:p>
        </w:tc>
        <w:tc>
          <w:tcPr>
            <w:tcW w:w="3402" w:type="dxa"/>
            <w:tcBorders>
              <w:top w:val="thinThickSmallGap" w:sz="24" w:space="0" w:color="808080"/>
              <w:left w:val="double" w:sz="4" w:space="0" w:color="auto"/>
              <w:bottom w:val="double" w:sz="4" w:space="0" w:color="auto"/>
              <w:right w:val="thickThinSmallGap" w:sz="24" w:space="0" w:color="808080"/>
            </w:tcBorders>
          </w:tcPr>
          <w:p w:rsidR="00842528" w:rsidRPr="00914454" w:rsidRDefault="00842528" w:rsidP="009C6212">
            <w:pPr>
              <w:jc w:val="center"/>
              <w:rPr>
                <w:b/>
                <w:bCs/>
                <w:lang w:bidi="ar-IQ"/>
              </w:rPr>
            </w:pPr>
          </w:p>
          <w:p w:rsidR="00842528" w:rsidRPr="00914454" w:rsidRDefault="00842528" w:rsidP="009C6212">
            <w:pPr>
              <w:jc w:val="center"/>
              <w:rPr>
                <w:b/>
                <w:bCs/>
                <w:lang w:bidi="ar-IQ"/>
              </w:rPr>
            </w:pPr>
            <w:r w:rsidRPr="00914454">
              <w:rPr>
                <w:b/>
                <w:bCs/>
                <w:lang w:bidi="ar-IQ"/>
              </w:rPr>
              <w:t>Inhibition % (mean ± SD)</w:t>
            </w:r>
          </w:p>
        </w:tc>
      </w:tr>
      <w:tr w:rsidR="00842528" w:rsidRPr="00914454" w:rsidTr="00914454">
        <w:tc>
          <w:tcPr>
            <w:tcW w:w="3260" w:type="dxa"/>
            <w:tcBorders>
              <w:top w:val="double" w:sz="4" w:space="0" w:color="auto"/>
              <w:left w:val="thinThickSmallGap" w:sz="24" w:space="0" w:color="808080"/>
              <w:bottom w:val="single" w:sz="4" w:space="0" w:color="auto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0 (control)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808080"/>
            </w:tcBorders>
            <w:vAlign w:val="bottom"/>
          </w:tcPr>
          <w:p w:rsidR="00842528" w:rsidRPr="00914454" w:rsidRDefault="00842528" w:rsidP="009C6212">
            <w:pPr>
              <w:jc w:val="center"/>
              <w:rPr>
                <w:color w:val="000000"/>
              </w:rPr>
            </w:pPr>
            <w:r w:rsidRPr="00914454">
              <w:rPr>
                <w:color w:val="000000"/>
              </w:rPr>
              <w:t xml:space="preserve">1.25 </w:t>
            </w:r>
            <w:r w:rsidRPr="00914454">
              <w:rPr>
                <w:lang w:bidi="ar-IQ"/>
              </w:rPr>
              <w:t>± 0.27</w:t>
            </w:r>
          </w:p>
        </w:tc>
      </w:tr>
      <w:tr w:rsidR="00842528" w:rsidRPr="00914454" w:rsidTr="00914454">
        <w:tc>
          <w:tcPr>
            <w:tcW w:w="3260" w:type="dxa"/>
            <w:tcBorders>
              <w:top w:val="single" w:sz="4" w:space="0" w:color="auto"/>
              <w:left w:val="thinThickSmallGap" w:sz="24" w:space="0" w:color="808080"/>
              <w:bottom w:val="single" w:sz="4" w:space="0" w:color="auto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808080"/>
            </w:tcBorders>
            <w:vAlign w:val="bottom"/>
          </w:tcPr>
          <w:p w:rsidR="00842528" w:rsidRPr="00914454" w:rsidRDefault="00842528" w:rsidP="009C6212">
            <w:pPr>
              <w:jc w:val="center"/>
              <w:rPr>
                <w:color w:val="000000"/>
              </w:rPr>
            </w:pPr>
            <w:r w:rsidRPr="00914454">
              <w:rPr>
                <w:color w:val="000000"/>
              </w:rPr>
              <w:t xml:space="preserve">1.32 </w:t>
            </w:r>
            <w:r w:rsidRPr="00914454">
              <w:rPr>
                <w:lang w:bidi="ar-IQ"/>
              </w:rPr>
              <w:t>± 0.89</w:t>
            </w:r>
          </w:p>
        </w:tc>
      </w:tr>
      <w:tr w:rsidR="00842528" w:rsidRPr="00914454" w:rsidTr="00914454">
        <w:tc>
          <w:tcPr>
            <w:tcW w:w="3260" w:type="dxa"/>
            <w:tcBorders>
              <w:top w:val="single" w:sz="4" w:space="0" w:color="auto"/>
              <w:left w:val="thinThickSmallGap" w:sz="24" w:space="0" w:color="808080"/>
              <w:bottom w:val="single" w:sz="4" w:space="0" w:color="auto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808080"/>
            </w:tcBorders>
            <w:vAlign w:val="bottom"/>
          </w:tcPr>
          <w:p w:rsidR="00842528" w:rsidRPr="00914454" w:rsidRDefault="00842528" w:rsidP="009C6212">
            <w:pPr>
              <w:jc w:val="center"/>
              <w:rPr>
                <w:color w:val="000000"/>
              </w:rPr>
            </w:pPr>
            <w:r w:rsidRPr="00914454">
              <w:rPr>
                <w:color w:val="000000"/>
              </w:rPr>
              <w:t xml:space="preserve">5.42 </w:t>
            </w:r>
            <w:r w:rsidRPr="00914454">
              <w:rPr>
                <w:lang w:bidi="ar-IQ"/>
              </w:rPr>
              <w:t>± 2.21</w:t>
            </w:r>
          </w:p>
        </w:tc>
      </w:tr>
      <w:tr w:rsidR="00842528" w:rsidRPr="00914454" w:rsidTr="00914454">
        <w:tc>
          <w:tcPr>
            <w:tcW w:w="3260" w:type="dxa"/>
            <w:tcBorders>
              <w:top w:val="single" w:sz="4" w:space="0" w:color="auto"/>
              <w:left w:val="thinThickSmallGap" w:sz="24" w:space="0" w:color="808080"/>
              <w:bottom w:val="single" w:sz="4" w:space="0" w:color="auto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808080"/>
            </w:tcBorders>
            <w:vAlign w:val="bottom"/>
          </w:tcPr>
          <w:p w:rsidR="00842528" w:rsidRPr="00914454" w:rsidRDefault="00842528" w:rsidP="009C6212">
            <w:pPr>
              <w:jc w:val="center"/>
              <w:rPr>
                <w:color w:val="000000"/>
              </w:rPr>
            </w:pPr>
            <w:r w:rsidRPr="00914454">
              <w:rPr>
                <w:color w:val="000000"/>
              </w:rPr>
              <w:t xml:space="preserve">8.17 </w:t>
            </w:r>
            <w:r w:rsidRPr="00914454">
              <w:rPr>
                <w:lang w:bidi="ar-IQ"/>
              </w:rPr>
              <w:t>± 3.44*</w:t>
            </w:r>
          </w:p>
        </w:tc>
      </w:tr>
      <w:tr w:rsidR="00842528" w:rsidRPr="00914454" w:rsidTr="00914454">
        <w:tc>
          <w:tcPr>
            <w:tcW w:w="3260" w:type="dxa"/>
            <w:tcBorders>
              <w:top w:val="single" w:sz="4" w:space="0" w:color="auto"/>
              <w:left w:val="thinThickSmallGap" w:sz="24" w:space="0" w:color="808080"/>
              <w:bottom w:val="single" w:sz="4" w:space="0" w:color="auto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808080"/>
            </w:tcBorders>
            <w:vAlign w:val="bottom"/>
          </w:tcPr>
          <w:p w:rsidR="00842528" w:rsidRPr="00914454" w:rsidRDefault="00842528" w:rsidP="009C6212">
            <w:pPr>
              <w:jc w:val="center"/>
              <w:rPr>
                <w:rFonts w:ascii="Arial" w:hAnsi="Arial" w:cs="Arial"/>
                <w:color w:val="000000"/>
              </w:rPr>
            </w:pPr>
            <w:r w:rsidRPr="00914454">
              <w:rPr>
                <w:color w:val="000000"/>
              </w:rPr>
              <w:t xml:space="preserve">15.13 </w:t>
            </w:r>
            <w:r w:rsidRPr="00914454">
              <w:rPr>
                <w:lang w:bidi="ar-IQ"/>
              </w:rPr>
              <w:t>± 5.18*</w:t>
            </w:r>
          </w:p>
        </w:tc>
      </w:tr>
      <w:tr w:rsidR="00842528" w:rsidRPr="00914454" w:rsidTr="00914454">
        <w:tc>
          <w:tcPr>
            <w:tcW w:w="3260" w:type="dxa"/>
            <w:tcBorders>
              <w:top w:val="single" w:sz="4" w:space="0" w:color="auto"/>
              <w:left w:val="thinThickSmallGap" w:sz="24" w:space="0" w:color="808080"/>
              <w:bottom w:val="single" w:sz="4" w:space="0" w:color="auto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808080"/>
            </w:tcBorders>
            <w:vAlign w:val="bottom"/>
          </w:tcPr>
          <w:p w:rsidR="00842528" w:rsidRPr="00914454" w:rsidRDefault="00842528" w:rsidP="009C6212">
            <w:pPr>
              <w:jc w:val="center"/>
              <w:rPr>
                <w:rFonts w:ascii="Arial" w:hAnsi="Arial" w:cs="Arial"/>
                <w:color w:val="000000"/>
              </w:rPr>
            </w:pPr>
            <w:r w:rsidRPr="00914454">
              <w:rPr>
                <w:color w:val="000000"/>
              </w:rPr>
              <w:t xml:space="preserve">19.98 </w:t>
            </w:r>
            <w:r w:rsidRPr="00914454">
              <w:rPr>
                <w:lang w:bidi="ar-IQ"/>
              </w:rPr>
              <w:t>± 8.21*</w:t>
            </w:r>
          </w:p>
        </w:tc>
      </w:tr>
      <w:tr w:rsidR="00842528" w:rsidRPr="00914454" w:rsidTr="00914454">
        <w:tc>
          <w:tcPr>
            <w:tcW w:w="3260" w:type="dxa"/>
            <w:tcBorders>
              <w:top w:val="single" w:sz="4" w:space="0" w:color="auto"/>
              <w:left w:val="thinThickSmallGap" w:sz="24" w:space="0" w:color="808080"/>
              <w:bottom w:val="single" w:sz="4" w:space="0" w:color="auto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808080"/>
            </w:tcBorders>
            <w:vAlign w:val="bottom"/>
          </w:tcPr>
          <w:p w:rsidR="00842528" w:rsidRPr="00914454" w:rsidRDefault="00842528" w:rsidP="009C6212">
            <w:pPr>
              <w:jc w:val="center"/>
              <w:rPr>
                <w:rFonts w:ascii="Arial" w:hAnsi="Arial" w:cs="Arial"/>
                <w:color w:val="000000"/>
              </w:rPr>
            </w:pPr>
            <w:r w:rsidRPr="00914454">
              <w:rPr>
                <w:color w:val="000000"/>
              </w:rPr>
              <w:t xml:space="preserve">30.17 </w:t>
            </w:r>
            <w:r w:rsidRPr="00914454">
              <w:rPr>
                <w:lang w:bidi="ar-IQ"/>
              </w:rPr>
              <w:t>± 5.56*</w:t>
            </w:r>
          </w:p>
        </w:tc>
      </w:tr>
      <w:tr w:rsidR="00842528" w:rsidRPr="00914454" w:rsidTr="00914454">
        <w:tc>
          <w:tcPr>
            <w:tcW w:w="3260" w:type="dxa"/>
            <w:tcBorders>
              <w:top w:val="single" w:sz="4" w:space="0" w:color="auto"/>
              <w:left w:val="thinThickSmallGap" w:sz="24" w:space="0" w:color="808080"/>
              <w:bottom w:val="thickThinSmallGap" w:sz="24" w:space="0" w:color="808080"/>
              <w:right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SmallGap" w:sz="24" w:space="0" w:color="808080"/>
              <w:right w:val="thickThinSmallGap" w:sz="24" w:space="0" w:color="808080"/>
            </w:tcBorders>
            <w:vAlign w:val="bottom"/>
          </w:tcPr>
          <w:p w:rsidR="00842528" w:rsidRPr="00914454" w:rsidRDefault="00842528" w:rsidP="009C6212">
            <w:pPr>
              <w:jc w:val="center"/>
              <w:rPr>
                <w:rFonts w:ascii="Arial" w:hAnsi="Arial" w:cs="Arial"/>
                <w:color w:val="000000"/>
              </w:rPr>
            </w:pPr>
            <w:r w:rsidRPr="00914454">
              <w:rPr>
                <w:color w:val="000000"/>
              </w:rPr>
              <w:t xml:space="preserve">35.21 </w:t>
            </w:r>
            <w:r w:rsidRPr="00914454">
              <w:rPr>
                <w:lang w:bidi="ar-IQ"/>
              </w:rPr>
              <w:t>± 8.33*</w:t>
            </w:r>
          </w:p>
        </w:tc>
      </w:tr>
    </w:tbl>
    <w:p w:rsidR="00842528" w:rsidRPr="00914454" w:rsidRDefault="00842528" w:rsidP="00842528">
      <w:pPr>
        <w:ind w:right="-58"/>
        <w:jc w:val="both"/>
        <w:rPr>
          <w:lang w:bidi="ar-IQ"/>
        </w:rPr>
      </w:pPr>
      <w:r w:rsidRPr="00914454">
        <w:rPr>
          <w:lang w:bidi="ar-IQ"/>
        </w:rPr>
        <w:t xml:space="preserve">        * = significant differences (P&lt;0.05) as compared with control group.</w:t>
      </w:r>
    </w:p>
    <w:p w:rsidR="00842528" w:rsidRPr="00914454" w:rsidRDefault="00842528" w:rsidP="00842528">
      <w:pPr>
        <w:ind w:right="-58"/>
        <w:jc w:val="both"/>
        <w:rPr>
          <w:lang w:bidi="ar-IQ"/>
        </w:rPr>
      </w:pPr>
    </w:p>
    <w:p w:rsidR="0045515C" w:rsidRDefault="0045515C" w:rsidP="00842528">
      <w:pPr>
        <w:jc w:val="both"/>
        <w:rPr>
          <w:b/>
          <w:bCs/>
          <w:lang w:bidi="ar-IQ"/>
        </w:rPr>
        <w:sectPr w:rsidR="0045515C" w:rsidSect="0045515C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42528" w:rsidRPr="00914454" w:rsidRDefault="0045515C" w:rsidP="00842528">
      <w:pPr>
        <w:jc w:val="both"/>
        <w:rPr>
          <w:b/>
          <w:bCs/>
          <w:lang w:bidi="ar-IQ"/>
        </w:rPr>
      </w:pPr>
      <w:r>
        <w:rPr>
          <w:b/>
          <w:bCs/>
          <w:lang w:bidi="ar-IQ"/>
        </w:rPr>
        <w:lastRenderedPageBreak/>
        <w:t>2-</w:t>
      </w:r>
      <w:r w:rsidR="00842528" w:rsidRPr="00914454">
        <w:rPr>
          <w:b/>
          <w:bCs/>
          <w:lang w:bidi="ar-IQ"/>
        </w:rPr>
        <w:t xml:space="preserve"> Determination of glucose concentration in culture medium </w:t>
      </w:r>
    </w:p>
    <w:p w:rsidR="00842528" w:rsidRPr="00914454" w:rsidRDefault="00842528" w:rsidP="00842528">
      <w:pPr>
        <w:jc w:val="both"/>
        <w:rPr>
          <w:b/>
          <w:bCs/>
          <w:lang w:bidi="ar-IQ"/>
        </w:rPr>
      </w:pPr>
      <w:r w:rsidRPr="00914454">
        <w:rPr>
          <w:b/>
          <w:bCs/>
          <w:lang w:bidi="ar-IQ"/>
        </w:rPr>
        <w:t xml:space="preserve">        of SW-480 cell line</w:t>
      </w:r>
    </w:p>
    <w:p w:rsidR="001F0A4B" w:rsidRPr="00914454" w:rsidRDefault="00914454" w:rsidP="00914454">
      <w:pPr>
        <w:jc w:val="both"/>
        <w:rPr>
          <w:lang w:bidi="ar-IQ"/>
        </w:rPr>
      </w:pPr>
      <w:r w:rsidRPr="00914454">
        <w:rPr>
          <w:lang w:bidi="ar-IQ"/>
        </w:rPr>
        <w:t xml:space="preserve">      Table (2) </w:t>
      </w:r>
      <w:proofErr w:type="spellStart"/>
      <w:r w:rsidRPr="00914454">
        <w:rPr>
          <w:lang w:bidi="ar-IQ"/>
        </w:rPr>
        <w:t>showes</w:t>
      </w:r>
      <w:proofErr w:type="spellEnd"/>
      <w:r w:rsidR="00842528" w:rsidRPr="00914454">
        <w:rPr>
          <w:lang w:bidi="ar-IQ"/>
        </w:rPr>
        <w:t xml:space="preserve"> that the concentration of glucose in SW-480 cell line treated with dif</w:t>
      </w:r>
      <w:r w:rsidRPr="00914454">
        <w:rPr>
          <w:lang w:bidi="ar-IQ"/>
        </w:rPr>
        <w:t>ferent concentrations of 5</w:t>
      </w:r>
      <w:r w:rsidR="00D553A4" w:rsidRPr="00914454">
        <w:rPr>
          <w:lang w:bidi="ar-IQ"/>
        </w:rPr>
        <w:t>FU (</w:t>
      </w:r>
      <w:r w:rsidR="00842528" w:rsidRPr="00914454">
        <w:rPr>
          <w:lang w:bidi="ar-IQ"/>
        </w:rPr>
        <w:t xml:space="preserve">1.25, 2.5, 5, 10, </w:t>
      </w:r>
      <w:r w:rsidR="00842528" w:rsidRPr="00914454">
        <w:rPr>
          <w:lang w:bidi="ar-IQ"/>
        </w:rPr>
        <w:lastRenderedPageBreak/>
        <w:t>20, 40, 80µ</w:t>
      </w:r>
      <w:r w:rsidRPr="00914454">
        <w:rPr>
          <w:lang w:bidi="ar-IQ"/>
        </w:rPr>
        <w:t>g</w:t>
      </w:r>
      <w:r w:rsidR="00842528" w:rsidRPr="00914454">
        <w:rPr>
          <w:lang w:bidi="ar-IQ"/>
        </w:rPr>
        <w:t>/ml) were (49 ± 5.81, 50 ± 4.11, 52 ± 3.31, 54 ± 2.33, 57 ± 4.14, 70 ± 3.33, 73 ± 2.45, 149 ±5.33) respectively. There was significant increase (P&lt;0.05) in glucose level for concentrations above 2.5µ/ml as compared with the control group.</w:t>
      </w:r>
    </w:p>
    <w:p w:rsidR="0045515C" w:rsidRDefault="0045515C" w:rsidP="00842528">
      <w:pPr>
        <w:jc w:val="center"/>
        <w:rPr>
          <w:b/>
          <w:bCs/>
          <w:lang w:bidi="ar-IQ"/>
        </w:rPr>
        <w:sectPr w:rsidR="0045515C" w:rsidSect="0045515C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p w:rsidR="001F0A4B" w:rsidRPr="00914454" w:rsidRDefault="001F0A4B" w:rsidP="00842528">
      <w:pPr>
        <w:jc w:val="center"/>
        <w:rPr>
          <w:b/>
          <w:bCs/>
          <w:lang w:bidi="ar-IQ"/>
        </w:rPr>
      </w:pPr>
    </w:p>
    <w:p w:rsidR="00842528" w:rsidRPr="00914454" w:rsidRDefault="0045515C" w:rsidP="0045515C">
      <w:pPr>
        <w:jc w:val="both"/>
        <w:rPr>
          <w:b/>
          <w:bCs/>
          <w:lang w:bidi="ar-IQ"/>
        </w:rPr>
      </w:pPr>
      <w:r w:rsidRPr="0045515C">
        <w:rPr>
          <w:b/>
          <w:bCs/>
          <w:u w:val="single"/>
          <w:lang w:bidi="ar-IQ"/>
        </w:rPr>
        <w:t>Table 2</w:t>
      </w:r>
      <w:r w:rsidR="00842528" w:rsidRPr="00914454">
        <w:rPr>
          <w:b/>
          <w:bCs/>
          <w:lang w:bidi="ar-IQ"/>
        </w:rPr>
        <w:t xml:space="preserve"> </w:t>
      </w:r>
      <w:r w:rsidR="00842528" w:rsidRPr="0045515C">
        <w:rPr>
          <w:lang w:bidi="ar-IQ"/>
        </w:rPr>
        <w:t>Glucose concentration in the culture medium of SW-480 cell line after treatment with different concentrations</w:t>
      </w:r>
      <w:r w:rsidR="00914454" w:rsidRPr="0045515C">
        <w:rPr>
          <w:lang w:bidi="ar-IQ"/>
        </w:rPr>
        <w:t xml:space="preserve"> of 5</w:t>
      </w:r>
      <w:r w:rsidR="00842528" w:rsidRPr="0045515C">
        <w:rPr>
          <w:lang w:bidi="ar-IQ"/>
        </w:rPr>
        <w:t>FU.</w:t>
      </w:r>
    </w:p>
    <w:p w:rsidR="001F0A4B" w:rsidRPr="00914454" w:rsidRDefault="001F0A4B" w:rsidP="00842528">
      <w:pPr>
        <w:jc w:val="center"/>
        <w:rPr>
          <w:b/>
          <w:bCs/>
          <w:lang w:bidi="ar-IQ"/>
        </w:rPr>
      </w:pPr>
    </w:p>
    <w:tbl>
      <w:tblPr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302"/>
        <w:gridCol w:w="3360"/>
      </w:tblGrid>
      <w:tr w:rsidR="00842528" w:rsidRPr="00914454" w:rsidTr="00914454">
        <w:tc>
          <w:tcPr>
            <w:tcW w:w="3302" w:type="dxa"/>
            <w:tcBorders>
              <w:top w:val="thinThickSmallGap" w:sz="24" w:space="0" w:color="595959"/>
              <w:left w:val="thinThickSmallGap" w:sz="24" w:space="0" w:color="595959"/>
              <w:bottom w:val="double" w:sz="4" w:space="0" w:color="auto"/>
            </w:tcBorders>
          </w:tcPr>
          <w:p w:rsidR="00842528" w:rsidRPr="00914454" w:rsidRDefault="00842528" w:rsidP="009C6212">
            <w:pPr>
              <w:jc w:val="center"/>
              <w:rPr>
                <w:b/>
                <w:bCs/>
                <w:lang w:bidi="ar-IQ"/>
              </w:rPr>
            </w:pPr>
            <w:r w:rsidRPr="00914454">
              <w:rPr>
                <w:b/>
                <w:bCs/>
                <w:lang w:bidi="ar-IQ"/>
              </w:rPr>
              <w:t>5-FU conc. (µg/ml)</w:t>
            </w:r>
          </w:p>
        </w:tc>
        <w:tc>
          <w:tcPr>
            <w:tcW w:w="3360" w:type="dxa"/>
            <w:tcBorders>
              <w:top w:val="thinThickSmallGap" w:sz="24" w:space="0" w:color="595959"/>
              <w:bottom w:val="double" w:sz="4" w:space="0" w:color="auto"/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b/>
                <w:bCs/>
                <w:lang w:bidi="ar-IQ"/>
              </w:rPr>
            </w:pPr>
            <w:r w:rsidRPr="00914454">
              <w:rPr>
                <w:b/>
                <w:bCs/>
                <w:lang w:bidi="ar-IQ"/>
              </w:rPr>
              <w:t>Determined glucose conc.(mg/dl) (mean ± SE)</w:t>
            </w:r>
          </w:p>
        </w:tc>
      </w:tr>
      <w:tr w:rsidR="00842528" w:rsidRPr="00914454" w:rsidTr="00914454">
        <w:tc>
          <w:tcPr>
            <w:tcW w:w="3302" w:type="dxa"/>
            <w:tcBorders>
              <w:top w:val="double" w:sz="4" w:space="0" w:color="auto"/>
              <w:lef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0</w:t>
            </w:r>
          </w:p>
        </w:tc>
        <w:tc>
          <w:tcPr>
            <w:tcW w:w="3360" w:type="dxa"/>
            <w:tcBorders>
              <w:top w:val="double" w:sz="4" w:space="0" w:color="auto"/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49 ±5.81</w:t>
            </w:r>
          </w:p>
        </w:tc>
      </w:tr>
      <w:tr w:rsidR="00842528" w:rsidRPr="00914454" w:rsidTr="00914454">
        <w:tc>
          <w:tcPr>
            <w:tcW w:w="3302" w:type="dxa"/>
            <w:tcBorders>
              <w:lef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1.25</w:t>
            </w:r>
          </w:p>
        </w:tc>
        <w:tc>
          <w:tcPr>
            <w:tcW w:w="3360" w:type="dxa"/>
            <w:tcBorders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50 ± 4.11</w:t>
            </w:r>
          </w:p>
        </w:tc>
      </w:tr>
      <w:tr w:rsidR="00842528" w:rsidRPr="00914454" w:rsidTr="00914454">
        <w:tc>
          <w:tcPr>
            <w:tcW w:w="3302" w:type="dxa"/>
            <w:tcBorders>
              <w:lef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2.5</w:t>
            </w:r>
          </w:p>
        </w:tc>
        <w:tc>
          <w:tcPr>
            <w:tcW w:w="3360" w:type="dxa"/>
            <w:tcBorders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52 ± 3.31</w:t>
            </w:r>
          </w:p>
        </w:tc>
      </w:tr>
      <w:tr w:rsidR="00842528" w:rsidRPr="00914454" w:rsidTr="00914454">
        <w:tc>
          <w:tcPr>
            <w:tcW w:w="3302" w:type="dxa"/>
            <w:tcBorders>
              <w:lef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5.0</w:t>
            </w:r>
          </w:p>
        </w:tc>
        <w:tc>
          <w:tcPr>
            <w:tcW w:w="3360" w:type="dxa"/>
            <w:tcBorders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55 ±2.33*</w:t>
            </w:r>
          </w:p>
        </w:tc>
      </w:tr>
      <w:tr w:rsidR="00842528" w:rsidRPr="00914454" w:rsidTr="00914454">
        <w:tc>
          <w:tcPr>
            <w:tcW w:w="3302" w:type="dxa"/>
            <w:tcBorders>
              <w:lef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10</w:t>
            </w:r>
          </w:p>
        </w:tc>
        <w:tc>
          <w:tcPr>
            <w:tcW w:w="3360" w:type="dxa"/>
            <w:tcBorders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57 ± 4.14*</w:t>
            </w:r>
          </w:p>
        </w:tc>
      </w:tr>
      <w:tr w:rsidR="00842528" w:rsidRPr="00914454" w:rsidTr="00914454">
        <w:tc>
          <w:tcPr>
            <w:tcW w:w="3302" w:type="dxa"/>
            <w:tcBorders>
              <w:lef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20</w:t>
            </w:r>
          </w:p>
        </w:tc>
        <w:tc>
          <w:tcPr>
            <w:tcW w:w="3360" w:type="dxa"/>
            <w:tcBorders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70 ±3.33*</w:t>
            </w:r>
          </w:p>
        </w:tc>
      </w:tr>
      <w:tr w:rsidR="00842528" w:rsidRPr="00914454" w:rsidTr="00914454">
        <w:tc>
          <w:tcPr>
            <w:tcW w:w="3302" w:type="dxa"/>
            <w:tcBorders>
              <w:lef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40</w:t>
            </w:r>
          </w:p>
        </w:tc>
        <w:tc>
          <w:tcPr>
            <w:tcW w:w="3360" w:type="dxa"/>
            <w:tcBorders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73 ±2.45*</w:t>
            </w:r>
          </w:p>
        </w:tc>
      </w:tr>
      <w:tr w:rsidR="00842528" w:rsidRPr="00914454" w:rsidTr="00914454">
        <w:tc>
          <w:tcPr>
            <w:tcW w:w="3302" w:type="dxa"/>
            <w:tcBorders>
              <w:lef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80</w:t>
            </w:r>
          </w:p>
        </w:tc>
        <w:tc>
          <w:tcPr>
            <w:tcW w:w="3360" w:type="dxa"/>
            <w:tcBorders>
              <w:right w:val="thinThickSmallGap" w:sz="24" w:space="0" w:color="595959"/>
            </w:tcBorders>
          </w:tcPr>
          <w:p w:rsidR="00842528" w:rsidRPr="00914454" w:rsidRDefault="00842528" w:rsidP="009C6212">
            <w:pPr>
              <w:jc w:val="center"/>
              <w:rPr>
                <w:lang w:bidi="ar-IQ"/>
              </w:rPr>
            </w:pPr>
            <w:r w:rsidRPr="00914454">
              <w:rPr>
                <w:lang w:bidi="ar-IQ"/>
              </w:rPr>
              <w:t>149 ±5.33*</w:t>
            </w:r>
          </w:p>
        </w:tc>
      </w:tr>
    </w:tbl>
    <w:p w:rsidR="00842528" w:rsidRPr="00914454" w:rsidRDefault="00842528" w:rsidP="00842528">
      <w:pPr>
        <w:ind w:right="-58"/>
        <w:jc w:val="both"/>
        <w:rPr>
          <w:lang w:bidi="ar-IQ"/>
        </w:rPr>
      </w:pPr>
      <w:r w:rsidRPr="00914454">
        <w:rPr>
          <w:lang w:bidi="ar-IQ"/>
        </w:rPr>
        <w:t xml:space="preserve">      *= significant differences (P&lt;0.05) as compared with the control group.</w:t>
      </w:r>
    </w:p>
    <w:p w:rsidR="00842528" w:rsidRPr="00914454" w:rsidRDefault="00842528" w:rsidP="00842528">
      <w:pPr>
        <w:spacing w:line="276" w:lineRule="auto"/>
        <w:jc w:val="both"/>
        <w:rPr>
          <w:lang w:bidi="ar-IQ"/>
        </w:rPr>
      </w:pPr>
    </w:p>
    <w:p w:rsidR="0045515C" w:rsidRDefault="0045515C" w:rsidP="00842528">
      <w:pPr>
        <w:spacing w:line="276" w:lineRule="auto"/>
        <w:jc w:val="both"/>
        <w:rPr>
          <w:b/>
          <w:bCs/>
          <w:u w:val="single"/>
          <w:lang w:bidi="ar-IQ"/>
        </w:rPr>
        <w:sectPr w:rsidR="0045515C" w:rsidSect="0045515C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42528" w:rsidRPr="00914454" w:rsidRDefault="00842528" w:rsidP="00842528">
      <w:pPr>
        <w:spacing w:line="276" w:lineRule="auto"/>
        <w:jc w:val="both"/>
        <w:rPr>
          <w:b/>
          <w:bCs/>
          <w:u w:val="single"/>
          <w:lang w:bidi="ar-IQ"/>
        </w:rPr>
      </w:pPr>
      <w:r w:rsidRPr="00914454">
        <w:rPr>
          <w:b/>
          <w:bCs/>
          <w:u w:val="single"/>
          <w:lang w:bidi="ar-IQ"/>
        </w:rPr>
        <w:lastRenderedPageBreak/>
        <w:t>Discussion</w:t>
      </w:r>
    </w:p>
    <w:p w:rsidR="00842528" w:rsidRPr="00914454" w:rsidRDefault="00842528" w:rsidP="003458CC">
      <w:pPr>
        <w:spacing w:line="276" w:lineRule="auto"/>
        <w:jc w:val="both"/>
        <w:rPr>
          <w:lang w:bidi="ar-IQ"/>
        </w:rPr>
      </w:pPr>
      <w:r w:rsidRPr="00914454">
        <w:rPr>
          <w:lang w:bidi="ar-IQ"/>
        </w:rPr>
        <w:t xml:space="preserve">         Table (1) </w:t>
      </w:r>
      <w:r w:rsidR="00914454" w:rsidRPr="00914454">
        <w:rPr>
          <w:lang w:bidi="ar-IQ"/>
        </w:rPr>
        <w:t>shows</w:t>
      </w:r>
      <w:r w:rsidRPr="00914454">
        <w:rPr>
          <w:lang w:bidi="ar-IQ"/>
        </w:rPr>
        <w:t xml:space="preserve"> that the</w:t>
      </w:r>
      <w:r w:rsidR="00914454" w:rsidRPr="00914454">
        <w:rPr>
          <w:lang w:bidi="ar-IQ"/>
        </w:rPr>
        <w:t xml:space="preserve"> low concentrations of 5</w:t>
      </w:r>
      <w:r w:rsidRPr="00914454">
        <w:rPr>
          <w:lang w:bidi="ar-IQ"/>
        </w:rPr>
        <w:t>FU (1.25 and 2.5µg/ml) produced non-significant (P&gt;0.05) increase in the inhibition percent of SW-480 cel</w:t>
      </w:r>
      <w:r w:rsidR="00D553A4" w:rsidRPr="00914454">
        <w:rPr>
          <w:lang w:bidi="ar-IQ"/>
        </w:rPr>
        <w:t xml:space="preserve">l line after 12h of incubation. </w:t>
      </w:r>
      <w:r w:rsidRPr="00914454">
        <w:rPr>
          <w:lang w:bidi="ar-IQ"/>
        </w:rPr>
        <w:t xml:space="preserve">Whereas concentrations </w:t>
      </w:r>
      <w:r w:rsidRPr="00914454">
        <w:rPr>
          <w:lang w:bidi="ar-IQ"/>
        </w:rPr>
        <w:lastRenderedPageBreak/>
        <w:t>above 2.5µg/ml produced significant (P&lt;0.05) increase in the inhibition percent of the cells. This</w:t>
      </w:r>
      <w:r w:rsidR="00914454" w:rsidRPr="00914454">
        <w:rPr>
          <w:lang w:bidi="ar-IQ"/>
        </w:rPr>
        <w:t xml:space="preserve"> indicated that the effect of 5</w:t>
      </w:r>
      <w:r w:rsidRPr="00914454">
        <w:rPr>
          <w:lang w:bidi="ar-IQ"/>
        </w:rPr>
        <w:t xml:space="preserve">FU on SW-480 was </w:t>
      </w:r>
      <w:r w:rsidR="00D13D51" w:rsidRPr="00914454">
        <w:rPr>
          <w:lang w:bidi="ar-IQ"/>
        </w:rPr>
        <w:t>do</w:t>
      </w:r>
      <w:r w:rsidR="00914454" w:rsidRPr="00914454">
        <w:rPr>
          <w:lang w:bidi="ar-IQ"/>
        </w:rPr>
        <w:t>se</w:t>
      </w:r>
      <w:r w:rsidRPr="00914454">
        <w:rPr>
          <w:lang w:bidi="ar-IQ"/>
        </w:rPr>
        <w:t xml:space="preserve"> dependent. This result was in agreement with Schuler </w:t>
      </w:r>
      <w:r w:rsidRPr="00914454">
        <w:rPr>
          <w:i/>
          <w:iCs/>
          <w:lang w:bidi="ar-IQ"/>
        </w:rPr>
        <w:t>et al</w:t>
      </w:r>
      <w:r w:rsidRPr="00914454">
        <w:rPr>
          <w:lang w:bidi="ar-IQ"/>
        </w:rPr>
        <w:t>., (2010)</w:t>
      </w:r>
      <w:r w:rsidR="00CC1024" w:rsidRPr="00914454">
        <w:t xml:space="preserve"> who obtained that</w:t>
      </w:r>
      <w:r w:rsidR="00914454" w:rsidRPr="00914454">
        <w:t xml:space="preserve"> 5</w:t>
      </w:r>
      <w:r w:rsidRPr="00914454">
        <w:t xml:space="preserve">FU inhibited the </w:t>
      </w:r>
      <w:r w:rsidRPr="00914454">
        <w:lastRenderedPageBreak/>
        <w:t>growth of head and neck squamous cell cancer in a dose dependent manner</w:t>
      </w:r>
      <w:r w:rsidR="003458CC" w:rsidRPr="00914454">
        <w:t xml:space="preserve"> 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3458CC" w:rsidRPr="00914454">
        <w:rPr>
          <w:rFonts w:asciiTheme="majorBidi" w:eastAsiaTheme="minorHAnsi" w:hAnsiTheme="majorBidi" w:cstheme="majorBidi"/>
          <w:lang w:val="en-US" w:eastAsia="en-US" w:bidi="ar-IQ"/>
        </w:rPr>
        <w:t>11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Pr="00914454">
        <w:t xml:space="preserve">. </w:t>
      </w:r>
      <w:proofErr w:type="spellStart"/>
      <w:r w:rsidRPr="00914454">
        <w:t>Midena</w:t>
      </w:r>
      <w:proofErr w:type="spellEnd"/>
      <w:r w:rsidRPr="00914454">
        <w:t xml:space="preserve"> </w:t>
      </w:r>
      <w:r w:rsidRPr="00914454">
        <w:rPr>
          <w:i/>
          <w:iCs/>
        </w:rPr>
        <w:t>et al</w:t>
      </w:r>
      <w:r w:rsidRPr="00914454">
        <w:t>., (2013)</w:t>
      </w:r>
      <w:r w:rsidRPr="00914454">
        <w:rPr>
          <w:lang w:bidi="ar-IQ"/>
        </w:rPr>
        <w:t xml:space="preserve"> also found that </w:t>
      </w:r>
      <w:r w:rsidRPr="00914454">
        <w:t>t</w:t>
      </w:r>
      <w:r w:rsidR="00914454" w:rsidRPr="00914454">
        <w:t>he cytostatic effect of 5</w:t>
      </w:r>
      <w:r w:rsidRPr="00914454">
        <w:t xml:space="preserve">FU on human corneal epithelial cell and human corneal </w:t>
      </w:r>
      <w:proofErr w:type="spellStart"/>
      <w:r w:rsidRPr="00914454">
        <w:t>keratocyte</w:t>
      </w:r>
      <w:proofErr w:type="spellEnd"/>
      <w:r w:rsidRPr="00914454">
        <w:t xml:space="preserve"> cultures was time and dose dependent</w:t>
      </w:r>
      <w:r w:rsidR="003458CC" w:rsidRPr="00914454">
        <w:t xml:space="preserve"> 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3458CC" w:rsidRPr="00914454">
        <w:rPr>
          <w:rFonts w:asciiTheme="majorBidi" w:eastAsiaTheme="minorHAnsi" w:hAnsiTheme="majorBidi" w:cstheme="majorBidi"/>
          <w:lang w:val="en-US" w:eastAsia="en-US" w:bidi="ar-IQ"/>
        </w:rPr>
        <w:t>12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Pr="00914454">
        <w:t>.</w:t>
      </w:r>
    </w:p>
    <w:p w:rsidR="00842528" w:rsidRPr="00914454" w:rsidRDefault="00842528" w:rsidP="003458CC">
      <w:pPr>
        <w:spacing w:line="276" w:lineRule="auto"/>
        <w:jc w:val="both"/>
        <w:rPr>
          <w:rStyle w:val="author2"/>
          <w:lang w:val="en-US"/>
        </w:rPr>
      </w:pPr>
      <w:r w:rsidRPr="00914454">
        <w:rPr>
          <w:lang w:bidi="ar-IQ"/>
        </w:rPr>
        <w:t xml:space="preserve">       There was significant increase (P&lt;0</w:t>
      </w:r>
      <w:r w:rsidR="00914454" w:rsidRPr="00914454">
        <w:rPr>
          <w:lang w:bidi="ar-IQ"/>
        </w:rPr>
        <w:t>.05) in the glucose level for 5</w:t>
      </w:r>
      <w:r w:rsidRPr="00914454">
        <w:rPr>
          <w:lang w:bidi="ar-IQ"/>
        </w:rPr>
        <w:t>FU concentrations above 2.5µl/ml as compared with the control group (Table 2). This may ensure the growth inhibition of SW-480 cell l</w:t>
      </w:r>
      <w:r w:rsidR="00914454" w:rsidRPr="00914454">
        <w:rPr>
          <w:lang w:bidi="ar-IQ"/>
        </w:rPr>
        <w:t>ine by these concentration of 5</w:t>
      </w:r>
      <w:r w:rsidRPr="00914454">
        <w:rPr>
          <w:lang w:bidi="ar-IQ"/>
        </w:rPr>
        <w:t>FU, because c</w:t>
      </w:r>
      <w:r w:rsidRPr="00914454">
        <w:t>ancer cells require a steady source of metabolic energy in order to continue their uncontrolled growth and proliferation</w:t>
      </w:r>
      <w:r w:rsidRPr="00914454">
        <w:rPr>
          <w:lang w:bidi="ar-IQ"/>
        </w:rPr>
        <w:t xml:space="preserve"> 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3458CC" w:rsidRPr="00914454">
        <w:rPr>
          <w:rFonts w:asciiTheme="majorBidi" w:eastAsiaTheme="minorHAnsi" w:hAnsiTheme="majorBidi" w:cstheme="majorBidi"/>
          <w:lang w:val="en-US" w:eastAsia="en-US" w:bidi="ar-IQ"/>
        </w:rPr>
        <w:t>13</w:t>
      </w:r>
      <w:r w:rsidR="003458CC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="003458CC" w:rsidRPr="00914454">
        <w:rPr>
          <w:rFonts w:asciiTheme="majorBidi" w:eastAsiaTheme="minorHAnsi" w:hAnsiTheme="majorBidi" w:cstheme="majorBidi"/>
          <w:lang w:val="en-US" w:eastAsia="en-US"/>
        </w:rPr>
        <w:t>.</w:t>
      </w:r>
    </w:p>
    <w:p w:rsidR="00842528" w:rsidRPr="00914454" w:rsidRDefault="00842528" w:rsidP="00914454">
      <w:pPr>
        <w:spacing w:line="276" w:lineRule="auto"/>
        <w:jc w:val="both"/>
      </w:pPr>
      <w:r w:rsidRPr="00914454">
        <w:rPr>
          <w:lang w:bidi="ar-IQ"/>
        </w:rPr>
        <w:t xml:space="preserve">       The comparison of this result with the result in tab</w:t>
      </w:r>
      <w:r w:rsidR="00D553A4" w:rsidRPr="00914454">
        <w:rPr>
          <w:lang w:bidi="ar-IQ"/>
        </w:rPr>
        <w:t>le (1) revealed that there is</w:t>
      </w:r>
      <w:r w:rsidRPr="00914454">
        <w:rPr>
          <w:lang w:bidi="ar-IQ"/>
        </w:rPr>
        <w:t xml:space="preserve"> relati</w:t>
      </w:r>
      <w:r w:rsidR="00D553A4" w:rsidRPr="00914454">
        <w:rPr>
          <w:lang w:bidi="ar-IQ"/>
        </w:rPr>
        <w:t>onship between the effect</w:t>
      </w:r>
      <w:r w:rsidR="00914454" w:rsidRPr="00914454">
        <w:rPr>
          <w:lang w:bidi="ar-IQ"/>
        </w:rPr>
        <w:t xml:space="preserve"> of 5</w:t>
      </w:r>
      <w:r w:rsidRPr="00914454">
        <w:rPr>
          <w:lang w:bidi="ar-IQ"/>
        </w:rPr>
        <w:t xml:space="preserve">FU </w:t>
      </w:r>
      <w:r w:rsidR="00D553A4" w:rsidRPr="00914454">
        <w:rPr>
          <w:lang w:bidi="ar-IQ"/>
        </w:rPr>
        <w:t xml:space="preserve">concentrations </w:t>
      </w:r>
      <w:r w:rsidRPr="00914454">
        <w:rPr>
          <w:lang w:bidi="ar-IQ"/>
        </w:rPr>
        <w:t xml:space="preserve">and the glucose level on SW-480 cell line. </w:t>
      </w:r>
      <w:r w:rsidRPr="00914454">
        <w:t xml:space="preserve">Su </w:t>
      </w:r>
      <w:r w:rsidRPr="00914454">
        <w:rPr>
          <w:i/>
          <w:iCs/>
        </w:rPr>
        <w:t>et al</w:t>
      </w:r>
      <w:r w:rsidRPr="00914454">
        <w:t xml:space="preserve">., (2013) investigated whether </w:t>
      </w:r>
      <w:proofErr w:type="spellStart"/>
      <w:r w:rsidRPr="00914454">
        <w:t>tumors</w:t>
      </w:r>
      <w:proofErr w:type="spellEnd"/>
      <w:r w:rsidRPr="00914454">
        <w:t xml:space="preserve"> responding to epidermal growth factor receptor kinase inhibitors can be identified by measuring treatment-induced changes in glucose utilization</w:t>
      </w:r>
      <w:r w:rsidRPr="00914454">
        <w:rPr>
          <w:lang w:bidi="ar-IQ"/>
        </w:rPr>
        <w:t xml:space="preserve">. They concluded that </w:t>
      </w:r>
      <w:r w:rsidRPr="00914454">
        <w:t xml:space="preserve">glucose metabolic </w:t>
      </w:r>
      <w:r w:rsidR="00B113FE" w:rsidRPr="00914454">
        <w:t>activity closely reflects</w:t>
      </w:r>
      <w:r w:rsidRPr="00914454">
        <w:t xml:space="preserve"> the response to </w:t>
      </w:r>
      <w:proofErr w:type="spellStart"/>
      <w:r w:rsidRPr="00914454">
        <w:t>gefitinib</w:t>
      </w:r>
      <w:proofErr w:type="spellEnd"/>
      <w:r w:rsidRPr="00914454">
        <w:t xml:space="preserve"> therapy</w:t>
      </w:r>
      <w:r w:rsidR="00E61A8E" w:rsidRPr="00914454">
        <w:t xml:space="preserve"> </w:t>
      </w:r>
      <w:r w:rsidR="00E61A8E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]</w:t>
      </w:r>
      <w:r w:rsidR="00E61A8E" w:rsidRPr="00914454">
        <w:rPr>
          <w:rFonts w:asciiTheme="majorBidi" w:eastAsiaTheme="minorHAnsi" w:hAnsiTheme="majorBidi" w:cstheme="majorBidi"/>
          <w:lang w:val="en-US" w:eastAsia="en-US" w:bidi="ar-IQ"/>
        </w:rPr>
        <w:t>14</w:t>
      </w:r>
      <w:r w:rsidR="00E61A8E" w:rsidRPr="00914454">
        <w:rPr>
          <w:rFonts w:asciiTheme="majorBidi" w:eastAsiaTheme="minorHAnsi" w:hAnsiTheme="majorBidi" w:cstheme="majorBidi" w:hint="cs"/>
          <w:rtl/>
          <w:lang w:val="en-US" w:eastAsia="en-US" w:bidi="ar-IQ"/>
        </w:rPr>
        <w:t>[</w:t>
      </w:r>
      <w:r w:rsidRPr="00914454">
        <w:t>.</w:t>
      </w:r>
      <w:r w:rsidR="00914454" w:rsidRPr="00914454">
        <w:t>Glucose determination may be a valuable predictor antitumor response.</w:t>
      </w:r>
    </w:p>
    <w:p w:rsidR="00914454" w:rsidRDefault="00914454" w:rsidP="00842528">
      <w:pPr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:rsidR="00842528" w:rsidRPr="00914454" w:rsidRDefault="00842528" w:rsidP="00842528">
      <w:pPr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914454">
        <w:rPr>
          <w:rFonts w:asciiTheme="majorBidi" w:hAnsiTheme="majorBidi" w:cstheme="majorBidi"/>
          <w:b/>
          <w:bCs/>
          <w:u w:val="single"/>
          <w:lang w:bidi="ar-IQ"/>
        </w:rPr>
        <w:t>References</w:t>
      </w:r>
    </w:p>
    <w:p w:rsidR="00842528" w:rsidRPr="000F2B74" w:rsidRDefault="00842528" w:rsidP="00842528">
      <w:pPr>
        <w:autoSpaceDE w:val="0"/>
        <w:autoSpaceDN w:val="0"/>
        <w:adjustRightInd w:val="0"/>
        <w:jc w:val="both"/>
      </w:pPr>
      <w:r w:rsidRPr="000F2B74">
        <w:rPr>
          <w:rFonts w:asciiTheme="majorBidi" w:hAnsiTheme="majorBidi" w:cstheme="majorBidi"/>
          <w:lang w:bidi="ar-IQ"/>
        </w:rPr>
        <w:t>1.</w:t>
      </w:r>
      <w:r w:rsidRPr="000F2B74">
        <w:rPr>
          <w:b/>
          <w:bCs/>
        </w:rPr>
        <w:t xml:space="preserve"> </w:t>
      </w:r>
      <w:proofErr w:type="spellStart"/>
      <w:r w:rsidRPr="000F2B74">
        <w:rPr>
          <w:rStyle w:val="reference-text"/>
        </w:rPr>
        <w:t>Ferlay</w:t>
      </w:r>
      <w:proofErr w:type="spellEnd"/>
      <w:r w:rsidRPr="000F2B74">
        <w:rPr>
          <w:rStyle w:val="reference-text"/>
        </w:rPr>
        <w:t xml:space="preserve">, J.; Shin, HR.; Bray, F. et al. (2010). </w:t>
      </w:r>
      <w:hyperlink r:id="rId12" w:history="1">
        <w:r w:rsidRPr="000F2B74">
          <w:rPr>
            <w:rStyle w:val="Hyperlink"/>
            <w:u w:val="none"/>
          </w:rPr>
          <w:t>Colorectal cancer incidence, mortality and prevalence worldwide in 2008 - summary</w:t>
        </w:r>
      </w:hyperlink>
      <w:r w:rsidRPr="000F2B74">
        <w:rPr>
          <w:rStyle w:val="reference-text"/>
        </w:rPr>
        <w:t xml:space="preserve">. International Agency for Research on Cancer. </w:t>
      </w:r>
    </w:p>
    <w:p w:rsidR="00842528" w:rsidRPr="000F2B74" w:rsidRDefault="00842528" w:rsidP="00842528">
      <w:pPr>
        <w:autoSpaceDE w:val="0"/>
        <w:autoSpaceDN w:val="0"/>
        <w:adjustRightInd w:val="0"/>
        <w:jc w:val="both"/>
      </w:pPr>
      <w:r w:rsidRPr="000F2B74">
        <w:rPr>
          <w:rFonts w:asciiTheme="majorBidi" w:hAnsiTheme="majorBidi" w:cstheme="majorBidi"/>
          <w:lang w:bidi="ar-IQ"/>
        </w:rPr>
        <w:t>2.</w:t>
      </w:r>
      <w:r w:rsidRPr="000F2B74">
        <w:t xml:space="preserve"> </w:t>
      </w:r>
      <w:proofErr w:type="spellStart"/>
      <w:r w:rsidRPr="000F2B74">
        <w:t>Giovannucci</w:t>
      </w:r>
      <w:proofErr w:type="spellEnd"/>
      <w:r w:rsidRPr="000F2B74">
        <w:t>, E. and  Michaud D. (2007). The role of obesity and related metabolic disturbances in cancers of the colon, prostate, and pancreas. Gastroenterology.132:2208–2225.</w:t>
      </w:r>
    </w:p>
    <w:p w:rsidR="00842528" w:rsidRPr="000F2B74" w:rsidRDefault="00842528" w:rsidP="00842528">
      <w:pPr>
        <w:autoSpaceDE w:val="0"/>
        <w:autoSpaceDN w:val="0"/>
        <w:adjustRightInd w:val="0"/>
        <w:jc w:val="both"/>
      </w:pPr>
      <w:r w:rsidRPr="000F2B74">
        <w:rPr>
          <w:rFonts w:asciiTheme="majorBidi" w:hAnsiTheme="majorBidi" w:cstheme="majorBidi"/>
          <w:lang w:bidi="ar-IQ"/>
        </w:rPr>
        <w:lastRenderedPageBreak/>
        <w:t>3.</w:t>
      </w:r>
      <w:r w:rsidRPr="000F2B74">
        <w:t xml:space="preserve"> Arias, J. L. (2008). Novel strategies to improve the anticancer action of 5-Fluorouracil by using drug delivery systems. Molecule. 13: 2340-2369.</w:t>
      </w:r>
    </w:p>
    <w:p w:rsidR="00842528" w:rsidRPr="000F2B74" w:rsidRDefault="00842528" w:rsidP="00842528">
      <w:pPr>
        <w:autoSpaceDE w:val="0"/>
        <w:autoSpaceDN w:val="0"/>
        <w:adjustRightInd w:val="0"/>
        <w:jc w:val="both"/>
        <w:rPr>
          <w:rFonts w:ascii="AdvTimes" w:eastAsiaTheme="minorHAnsi" w:hAnsi="AdvTimes" w:cs="AdvTimes"/>
          <w:lang w:val="en-US" w:eastAsia="en-US"/>
        </w:rPr>
      </w:pPr>
      <w:r w:rsidRPr="000F2B74">
        <w:rPr>
          <w:rFonts w:asciiTheme="majorBidi" w:hAnsiTheme="majorBidi" w:cstheme="majorBidi"/>
          <w:lang w:bidi="ar-IQ"/>
        </w:rPr>
        <w:t>4.</w:t>
      </w:r>
      <w:r w:rsidRPr="000F2B74">
        <w:rPr>
          <w:rFonts w:ascii="AdvTimes" w:eastAsiaTheme="minorHAnsi" w:hAnsi="AdvTimes" w:cs="AdvTimes"/>
          <w:lang w:val="en-US" w:eastAsia="en-US"/>
        </w:rPr>
        <w:t xml:space="preserve">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Borenfreund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, E. and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Puerner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, J. A. (1985). Toxicity deter- mined </w:t>
      </w:r>
      <w:r w:rsidRPr="000F2B74">
        <w:rPr>
          <w:rFonts w:ascii="AdvTimes-i" w:eastAsiaTheme="minorHAnsi" w:hAnsi="AdvTimes-i" w:cs="AdvTimes-i"/>
          <w:lang w:val="en-US" w:eastAsia="en-US"/>
        </w:rPr>
        <w:t xml:space="preserve">in vitro </w:t>
      </w:r>
      <w:r w:rsidRPr="000F2B74">
        <w:rPr>
          <w:rFonts w:ascii="AdvTimes" w:eastAsiaTheme="minorHAnsi" w:hAnsi="AdvTimes" w:cs="AdvTimes"/>
          <w:lang w:val="en-US" w:eastAsia="en-US"/>
        </w:rPr>
        <w:t xml:space="preserve">by morphological alterations and neutral red absorption. </w:t>
      </w:r>
      <w:r w:rsidRPr="000F2B74">
        <w:rPr>
          <w:rFonts w:ascii="AdvTimes-i" w:eastAsiaTheme="minorHAnsi" w:hAnsi="AdvTimes-i" w:cs="AdvTimes-i"/>
          <w:lang w:val="en-US" w:eastAsia="en-US"/>
        </w:rPr>
        <w:t xml:space="preserve">Toxicology Letters. </w:t>
      </w:r>
      <w:r w:rsidRPr="000F2B74">
        <w:rPr>
          <w:rFonts w:ascii="AdvTimes-b" w:eastAsiaTheme="minorHAnsi" w:hAnsi="AdvTimes-b" w:cs="AdvTimes-b"/>
          <w:lang w:val="en-US" w:eastAsia="en-US"/>
        </w:rPr>
        <w:t xml:space="preserve">24: </w:t>
      </w:r>
      <w:r w:rsidRPr="000F2B74">
        <w:rPr>
          <w:rFonts w:ascii="AdvTimes" w:eastAsiaTheme="minorHAnsi" w:hAnsi="AdvTimes" w:cs="AdvTimes"/>
          <w:lang w:val="en-US" w:eastAsia="en-US"/>
        </w:rPr>
        <w:t>119-124.</w:t>
      </w:r>
    </w:p>
    <w:p w:rsidR="00842528" w:rsidRPr="000F2B74" w:rsidRDefault="00842528" w:rsidP="00842528">
      <w:pPr>
        <w:autoSpaceDE w:val="0"/>
        <w:autoSpaceDN w:val="0"/>
        <w:adjustRightInd w:val="0"/>
        <w:jc w:val="both"/>
        <w:rPr>
          <w:rFonts w:ascii="AdvTimes" w:eastAsiaTheme="minorHAnsi" w:hAnsi="AdvTimes" w:cs="AdvTimes"/>
          <w:lang w:val="en-US" w:eastAsia="en-US"/>
        </w:rPr>
      </w:pPr>
      <w:r w:rsidRPr="000F2B74">
        <w:rPr>
          <w:rFonts w:asciiTheme="majorBidi" w:hAnsiTheme="majorBidi" w:cstheme="majorBidi"/>
          <w:lang w:bidi="ar-IQ"/>
        </w:rPr>
        <w:t>5.</w:t>
      </w:r>
      <w:r w:rsidRPr="000F2B74">
        <w:rPr>
          <w:rFonts w:ascii="AdvTimes" w:eastAsiaTheme="minorHAnsi" w:hAnsi="AdvTimes" w:cs="AdvTimes"/>
          <w:lang w:val="en-US" w:eastAsia="en-US"/>
        </w:rPr>
        <w:t xml:space="preserve">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Denizot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, F. and Lang, R. (1986) Rapid colorimetric assay for cell growth and survival: Modifications to the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tetrazolium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 dye procedure giving improved sensitivity and reliability. </w:t>
      </w:r>
      <w:r w:rsidRPr="000F2B74">
        <w:rPr>
          <w:rFonts w:ascii="AdvTimes-i" w:eastAsiaTheme="minorHAnsi" w:hAnsi="AdvTimes-i" w:cs="AdvTimes-i"/>
          <w:lang w:val="en-US" w:eastAsia="en-US"/>
        </w:rPr>
        <w:t xml:space="preserve">Journal of Immunological Methods </w:t>
      </w:r>
      <w:r w:rsidRPr="000F2B74">
        <w:rPr>
          <w:rFonts w:ascii="AdvTimes-b" w:eastAsiaTheme="minorHAnsi" w:hAnsi="AdvTimes-b" w:cs="AdvTimes-b"/>
          <w:lang w:val="en-US" w:eastAsia="en-US"/>
        </w:rPr>
        <w:t xml:space="preserve">89, </w:t>
      </w:r>
      <w:r w:rsidRPr="000F2B74">
        <w:rPr>
          <w:rFonts w:ascii="AdvTimes" w:eastAsiaTheme="minorHAnsi" w:hAnsi="AdvTimes" w:cs="AdvTimes"/>
          <w:lang w:val="en-US" w:eastAsia="en-US"/>
        </w:rPr>
        <w:t>271-277.</w:t>
      </w:r>
    </w:p>
    <w:p w:rsidR="00842528" w:rsidRPr="000F2B74" w:rsidRDefault="00842528" w:rsidP="00842528">
      <w:pPr>
        <w:autoSpaceDE w:val="0"/>
        <w:autoSpaceDN w:val="0"/>
        <w:adjustRightInd w:val="0"/>
        <w:jc w:val="both"/>
        <w:rPr>
          <w:rFonts w:ascii="AdvTimes" w:eastAsiaTheme="minorHAnsi" w:hAnsi="AdvTimes" w:cs="AdvTimes"/>
          <w:lang w:val="en-US" w:eastAsia="en-US"/>
        </w:rPr>
      </w:pPr>
      <w:r w:rsidRPr="000F2B74">
        <w:rPr>
          <w:rFonts w:ascii="AdvTimes" w:eastAsiaTheme="minorHAnsi" w:hAnsi="AdvTimes" w:cs="AdvTimes"/>
          <w:lang w:val="en-US" w:eastAsia="en-US"/>
        </w:rPr>
        <w:t xml:space="preserve">6.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Itagaki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, H.;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Hagino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, S. Kobayashi, T.et al.(1991). An </w:t>
      </w:r>
      <w:r w:rsidRPr="000F2B74">
        <w:rPr>
          <w:rFonts w:ascii="AdvTimes-i" w:eastAsiaTheme="minorHAnsi" w:hAnsi="AdvTimes-i" w:cs="AdvTimes-i"/>
          <w:i/>
          <w:iCs/>
          <w:lang w:val="en-US" w:eastAsia="en-US"/>
        </w:rPr>
        <w:t>in vitro</w:t>
      </w:r>
      <w:r w:rsidRPr="000F2B74">
        <w:rPr>
          <w:rFonts w:ascii="AdvTimes-i" w:eastAsiaTheme="minorHAnsi" w:hAnsi="AdvTimes-i" w:cs="AdvTimes-i"/>
          <w:lang w:val="en-US" w:eastAsia="en-US"/>
        </w:rPr>
        <w:t xml:space="preserve">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alternatine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 to the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Darize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 eye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irri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 </w:t>
      </w:r>
      <w:proofErr w:type="spellStart"/>
      <w:r w:rsidRPr="000F2B74">
        <w:rPr>
          <w:rFonts w:ascii="AdvTimes" w:eastAsiaTheme="minorHAnsi" w:hAnsi="AdvTimes" w:cs="AdvTimes"/>
          <w:lang w:val="en-US" w:eastAsia="en-US"/>
        </w:rPr>
        <w:t>tation</w:t>
      </w:r>
      <w:proofErr w:type="spellEnd"/>
      <w:r w:rsidRPr="000F2B74">
        <w:rPr>
          <w:rFonts w:ascii="AdvTimes" w:eastAsiaTheme="minorHAnsi" w:hAnsi="AdvTimes" w:cs="AdvTimes"/>
          <w:lang w:val="en-US" w:eastAsia="en-US"/>
        </w:rPr>
        <w:t xml:space="preserve"> test: evaluation of the crystal violet staining method. </w:t>
      </w:r>
      <w:r w:rsidRPr="000F2B74">
        <w:rPr>
          <w:rFonts w:ascii="AdvTimes-i" w:eastAsiaTheme="minorHAnsi" w:hAnsi="AdvTimes-i" w:cs="AdvTimes-i"/>
          <w:lang w:val="en-US" w:eastAsia="en-US"/>
        </w:rPr>
        <w:t xml:space="preserve">Toxicology </w:t>
      </w:r>
      <w:r w:rsidRPr="000F2B74">
        <w:rPr>
          <w:rFonts w:ascii="AdvTimes-i" w:eastAsiaTheme="minorHAnsi" w:hAnsi="AdvTimes-i" w:cs="AdvTimes-i"/>
          <w:i/>
          <w:iCs/>
          <w:lang w:val="en-US" w:eastAsia="en-US"/>
        </w:rPr>
        <w:t>in Vitro</w:t>
      </w:r>
      <w:r w:rsidRPr="000F2B74">
        <w:rPr>
          <w:rFonts w:ascii="AdvTimes-b" w:eastAsiaTheme="minorHAnsi" w:hAnsi="AdvTimes-b" w:cs="AdvTimes-b"/>
          <w:lang w:val="en-US" w:eastAsia="en-US"/>
        </w:rPr>
        <w:t xml:space="preserve">. 5: </w:t>
      </w:r>
      <w:r w:rsidRPr="000F2B74">
        <w:rPr>
          <w:rFonts w:ascii="AdvTimes" w:eastAsiaTheme="minorHAnsi" w:hAnsi="AdvTimes" w:cs="AdvTimes"/>
          <w:lang w:val="en-US" w:eastAsia="en-US"/>
        </w:rPr>
        <w:t>139-143.</w:t>
      </w:r>
    </w:p>
    <w:p w:rsidR="00E61A8E" w:rsidRPr="000F2B74" w:rsidRDefault="00842528" w:rsidP="00842528">
      <w:pPr>
        <w:autoSpaceDE w:val="0"/>
        <w:autoSpaceDN w:val="0"/>
        <w:adjustRightInd w:val="0"/>
        <w:jc w:val="both"/>
      </w:pPr>
      <w:r w:rsidRPr="000F2B74">
        <w:rPr>
          <w:rFonts w:ascii="AdvTimes" w:eastAsiaTheme="minorHAnsi" w:hAnsi="AdvTimes" w:cs="AdvTimes"/>
          <w:lang w:val="en-US" w:eastAsia="en-US"/>
        </w:rPr>
        <w:t>7.</w:t>
      </w:r>
      <w:r w:rsidRPr="000F2B74">
        <w:t xml:space="preserve"> </w:t>
      </w:r>
      <w:r w:rsidR="00E61A8E" w:rsidRPr="000F2B74">
        <w:rPr>
          <w:rFonts w:ascii="AdvTimes" w:eastAsiaTheme="minorHAnsi" w:hAnsi="AdvTimes" w:cs="AdvTimes"/>
          <w:lang w:val="en-US" w:eastAsia="en-US"/>
        </w:rPr>
        <w:t xml:space="preserve">Chiba, K.;  Kawakami, K. and </w:t>
      </w:r>
      <w:proofErr w:type="spellStart"/>
      <w:r w:rsidR="00E61A8E" w:rsidRPr="000F2B74">
        <w:rPr>
          <w:rFonts w:ascii="AdvTimes" w:eastAsiaTheme="minorHAnsi" w:hAnsi="AdvTimes" w:cs="AdvTimes"/>
          <w:lang w:val="en-US" w:eastAsia="en-US"/>
        </w:rPr>
        <w:t>Tohyama</w:t>
      </w:r>
      <w:proofErr w:type="spellEnd"/>
      <w:r w:rsidR="00E61A8E" w:rsidRPr="000F2B74">
        <w:rPr>
          <w:rFonts w:ascii="AdvTimes" w:eastAsiaTheme="minorHAnsi" w:hAnsi="AdvTimes" w:cs="AdvTimes"/>
          <w:lang w:val="en-US" w:eastAsia="en-US"/>
        </w:rPr>
        <w:t>, K.</w:t>
      </w:r>
      <w:r w:rsidR="00E61A8E" w:rsidRPr="000F2B74">
        <w:rPr>
          <w:lang w:val="en-US"/>
        </w:rPr>
        <w:t xml:space="preserve"> (1998).</w:t>
      </w:r>
      <w:r w:rsidR="00E61A8E" w:rsidRPr="000F2B74">
        <w:rPr>
          <w:rFonts w:ascii="AdvTimes" w:eastAsiaTheme="minorHAnsi" w:hAnsi="AdvTimes" w:cs="AdvTimes"/>
          <w:lang w:val="en-US" w:eastAsia="en-US"/>
        </w:rPr>
        <w:t xml:space="preserve"> Simultaneous Evaluation of Cell Viability by Neutral Red, MTT and Crystal Violet Staining Assays of the Same Cells. Toxicology in vitro. 12: 251-258.</w:t>
      </w:r>
    </w:p>
    <w:p w:rsidR="00842528" w:rsidRPr="000F2B74" w:rsidRDefault="00842528" w:rsidP="00842528">
      <w:pPr>
        <w:autoSpaceDE w:val="0"/>
        <w:autoSpaceDN w:val="0"/>
        <w:adjustRightInd w:val="0"/>
        <w:jc w:val="both"/>
        <w:rPr>
          <w:rFonts w:eastAsia="Times-Roman"/>
        </w:rPr>
      </w:pPr>
      <w:r w:rsidRPr="000F2B74">
        <w:rPr>
          <w:rFonts w:asciiTheme="majorBidi" w:hAnsiTheme="majorBidi" w:cstheme="majorBidi"/>
          <w:lang w:bidi="ar-IQ"/>
        </w:rPr>
        <w:t>8.</w:t>
      </w:r>
      <w:r w:rsidRPr="000F2B74">
        <w:t xml:space="preserve"> </w:t>
      </w:r>
      <w:proofErr w:type="spellStart"/>
      <w:r w:rsidRPr="000F2B74">
        <w:t>Freshney</w:t>
      </w:r>
      <w:proofErr w:type="spellEnd"/>
      <w:r w:rsidRPr="000F2B74">
        <w:t>, R.I. (1994) Culture of Animal Cells, A Manual of Basic Technique, 3rd ed., New York: Wiley-</w:t>
      </w:r>
      <w:proofErr w:type="spellStart"/>
      <w:r w:rsidRPr="000F2B74">
        <w:t>Liss</w:t>
      </w:r>
      <w:proofErr w:type="spellEnd"/>
      <w:r w:rsidRPr="000F2B74">
        <w:t xml:space="preserve">. </w:t>
      </w:r>
    </w:p>
    <w:p w:rsidR="00842528" w:rsidRPr="000F2B74" w:rsidRDefault="00842528" w:rsidP="00842528">
      <w:pPr>
        <w:autoSpaceDE w:val="0"/>
        <w:autoSpaceDN w:val="0"/>
        <w:adjustRightInd w:val="0"/>
        <w:jc w:val="both"/>
        <w:rPr>
          <w:lang w:val="en-US" w:eastAsia="en-US"/>
        </w:rPr>
      </w:pPr>
      <w:r w:rsidRPr="000F2B74">
        <w:rPr>
          <w:rFonts w:asciiTheme="majorBidi" w:hAnsiTheme="majorBidi" w:cstheme="majorBidi"/>
          <w:lang w:bidi="ar-IQ"/>
        </w:rPr>
        <w:t>9.</w:t>
      </w:r>
      <w:r w:rsidRPr="000F2B74">
        <w:rPr>
          <w:lang w:val="en-US" w:eastAsia="en-US"/>
        </w:rPr>
        <w:t xml:space="preserve"> Castro-Garza, J.;  Barrios-</w:t>
      </w:r>
      <w:proofErr w:type="spellStart"/>
      <w:r w:rsidRPr="000F2B74">
        <w:rPr>
          <w:lang w:val="en-US" w:eastAsia="en-US"/>
        </w:rPr>
        <w:t>Garcı´a</w:t>
      </w:r>
      <w:proofErr w:type="spellEnd"/>
      <w:r w:rsidRPr="000F2B74">
        <w:rPr>
          <w:lang w:val="en-US" w:eastAsia="en-US"/>
        </w:rPr>
        <w:t>, H.B.;  Cruz-Vega, D. et al.</w:t>
      </w:r>
      <w:r w:rsidRPr="000F2B74">
        <w:rPr>
          <w:rStyle w:val="citation"/>
        </w:rPr>
        <w:t xml:space="preserve"> </w:t>
      </w:r>
      <w:r w:rsidRPr="000F2B74">
        <w:rPr>
          <w:lang w:val="en-US" w:eastAsia="en-US"/>
        </w:rPr>
        <w:t>(2007). Use of a colorimetric assay to measure differences in cytotoxicity of Mycobacterium tuberculosis strains. Journal of Medical Microbiology. 56, 733–737.</w:t>
      </w:r>
    </w:p>
    <w:p w:rsidR="00E61A8E" w:rsidRPr="000F2B74" w:rsidRDefault="00842528" w:rsidP="00E61A8E">
      <w:pPr>
        <w:autoSpaceDE w:val="0"/>
        <w:autoSpaceDN w:val="0"/>
        <w:adjustRightInd w:val="0"/>
        <w:jc w:val="both"/>
      </w:pPr>
      <w:r w:rsidRPr="000F2B74">
        <w:rPr>
          <w:rFonts w:asciiTheme="majorBidi" w:hAnsiTheme="majorBidi" w:cstheme="majorBidi"/>
          <w:lang w:bidi="ar-IQ"/>
        </w:rPr>
        <w:t>10.</w:t>
      </w:r>
      <w:r w:rsidRPr="000F2B74">
        <w:t xml:space="preserve"> </w:t>
      </w:r>
      <w:proofErr w:type="spellStart"/>
      <w:r w:rsidR="00E61A8E" w:rsidRPr="000F2B74">
        <w:t>Chaing</w:t>
      </w:r>
      <w:proofErr w:type="spellEnd"/>
      <w:r w:rsidR="00E61A8E" w:rsidRPr="000F2B74">
        <w:t xml:space="preserve">, W.; Chang, MY. And Lin, CC. (2003). </w:t>
      </w:r>
      <w:r w:rsidR="00E61A8E" w:rsidRPr="000F2B74">
        <w:rPr>
          <w:i/>
          <w:iCs/>
        </w:rPr>
        <w:t>In vitro</w:t>
      </w:r>
      <w:r w:rsidR="00E61A8E" w:rsidRPr="000F2B74">
        <w:t xml:space="preserve"> cytotoxic antiviral and </w:t>
      </w:r>
      <w:proofErr w:type="spellStart"/>
      <w:r w:rsidR="00E61A8E" w:rsidRPr="000F2B74">
        <w:t>immunomodulatory</w:t>
      </w:r>
      <w:proofErr w:type="spellEnd"/>
      <w:r w:rsidR="00E61A8E" w:rsidRPr="000F2B74">
        <w:t xml:space="preserve"> effects of </w:t>
      </w:r>
      <w:proofErr w:type="spellStart"/>
      <w:r w:rsidR="00E61A8E" w:rsidRPr="000F2B74">
        <w:t>Plantago</w:t>
      </w:r>
      <w:proofErr w:type="spellEnd"/>
      <w:r w:rsidR="00E61A8E" w:rsidRPr="000F2B74">
        <w:t xml:space="preserve"> major and </w:t>
      </w:r>
      <w:proofErr w:type="spellStart"/>
      <w:r w:rsidR="00E61A8E" w:rsidRPr="000F2B74">
        <w:t>Plantago</w:t>
      </w:r>
      <w:proofErr w:type="spellEnd"/>
      <w:r w:rsidR="00E61A8E" w:rsidRPr="000F2B74">
        <w:t xml:space="preserve"> </w:t>
      </w:r>
      <w:proofErr w:type="spellStart"/>
      <w:r w:rsidR="00E61A8E" w:rsidRPr="000F2B74">
        <w:t>asiatica</w:t>
      </w:r>
      <w:proofErr w:type="spellEnd"/>
      <w:r w:rsidR="00E61A8E" w:rsidRPr="000F2B74">
        <w:t>. American Journal of Chinese Medicine. 31(2): 225- 234.</w:t>
      </w:r>
    </w:p>
    <w:p w:rsidR="00842528" w:rsidRPr="000F2B74" w:rsidRDefault="00E61A8E" w:rsidP="00842528">
      <w:pPr>
        <w:shd w:val="clear" w:color="auto" w:fill="FFFFFF"/>
        <w:spacing w:after="150"/>
        <w:jc w:val="both"/>
      </w:pPr>
      <w:r w:rsidRPr="000F2B74">
        <w:t xml:space="preserve">11. </w:t>
      </w:r>
      <w:hyperlink r:id="rId13" w:history="1">
        <w:r w:rsidR="00842528" w:rsidRPr="000F2B74">
          <w:rPr>
            <w:rStyle w:val="Hyperlink"/>
            <w:u w:val="none"/>
          </w:rPr>
          <w:t>Schuler</w:t>
        </w:r>
      </w:hyperlink>
      <w:r w:rsidR="00842528" w:rsidRPr="000F2B74">
        <w:t xml:space="preserve">, PJ.; </w:t>
      </w:r>
      <w:hyperlink r:id="rId14" w:history="1">
        <w:proofErr w:type="spellStart"/>
        <w:r w:rsidR="00842528" w:rsidRPr="000F2B74">
          <w:rPr>
            <w:rStyle w:val="Hyperlink"/>
            <w:u w:val="none"/>
          </w:rPr>
          <w:t>Trellakis</w:t>
        </w:r>
        <w:proofErr w:type="spellEnd"/>
      </w:hyperlink>
      <w:r w:rsidR="00842528" w:rsidRPr="000F2B74">
        <w:t xml:space="preserve">,  S.;  </w:t>
      </w:r>
      <w:hyperlink r:id="rId15" w:history="1">
        <w:r w:rsidR="00842528" w:rsidRPr="000F2B74">
          <w:rPr>
            <w:rStyle w:val="Hyperlink"/>
            <w:u w:val="none"/>
          </w:rPr>
          <w:t xml:space="preserve"> </w:t>
        </w:r>
        <w:proofErr w:type="spellStart"/>
        <w:r w:rsidR="00842528" w:rsidRPr="000F2B74">
          <w:rPr>
            <w:rStyle w:val="Hyperlink"/>
            <w:u w:val="none"/>
          </w:rPr>
          <w:t>Greve</w:t>
        </w:r>
        <w:proofErr w:type="spellEnd"/>
      </w:hyperlink>
      <w:r w:rsidR="00842528" w:rsidRPr="000F2B74">
        <w:t xml:space="preserve">, J. </w:t>
      </w:r>
      <w:r w:rsidR="00842528" w:rsidRPr="000F2B74">
        <w:rPr>
          <w:i/>
          <w:iCs/>
        </w:rPr>
        <w:t>et al</w:t>
      </w:r>
      <w:r w:rsidR="00842528" w:rsidRPr="000F2B74">
        <w:t>.</w:t>
      </w:r>
      <w:r w:rsidR="00842528" w:rsidRPr="000F2B74">
        <w:rPr>
          <w:rStyle w:val="fm-vol-iss-date"/>
        </w:rPr>
        <w:t xml:space="preserve">( 2010). </w:t>
      </w:r>
      <w:r w:rsidR="00842528" w:rsidRPr="000F2B74">
        <w:t xml:space="preserve"> </w:t>
      </w:r>
      <w:r w:rsidR="00842528" w:rsidRPr="000F2B74">
        <w:rPr>
          <w:i/>
          <w:iCs/>
        </w:rPr>
        <w:t>In vitro</w:t>
      </w:r>
      <w:r w:rsidR="00842528" w:rsidRPr="000F2B74">
        <w:t xml:space="preserve"> </w:t>
      </w:r>
      <w:proofErr w:type="spellStart"/>
      <w:r w:rsidR="00842528" w:rsidRPr="000F2B74">
        <w:t>chemosensitivity</w:t>
      </w:r>
      <w:proofErr w:type="spellEnd"/>
      <w:r w:rsidR="00842528" w:rsidRPr="000F2B74">
        <w:t xml:space="preserve"> of head and neck cancer cell lines.</w:t>
      </w:r>
      <w:r w:rsidR="00842528" w:rsidRPr="000F2B74">
        <w:rPr>
          <w:rStyle w:val="citation-abbreviation"/>
        </w:rPr>
        <w:t xml:space="preserve"> Eur. J. Med. Res. </w:t>
      </w:r>
      <w:r w:rsidR="00842528" w:rsidRPr="000F2B74">
        <w:rPr>
          <w:rStyle w:val="citation-volume"/>
        </w:rPr>
        <w:t>15</w:t>
      </w:r>
      <w:r w:rsidR="00842528" w:rsidRPr="000F2B74">
        <w:rPr>
          <w:rStyle w:val="citation-issue"/>
        </w:rPr>
        <w:t>(8)</w:t>
      </w:r>
      <w:r w:rsidR="00842528" w:rsidRPr="000F2B74">
        <w:rPr>
          <w:rStyle w:val="citation-flpages"/>
        </w:rPr>
        <w:t xml:space="preserve">: 337–344. </w:t>
      </w:r>
    </w:p>
    <w:p w:rsidR="00842528" w:rsidRPr="000F2B74" w:rsidRDefault="00842528" w:rsidP="00E61A8E">
      <w:pPr>
        <w:shd w:val="clear" w:color="auto" w:fill="FFFFFF"/>
        <w:jc w:val="both"/>
      </w:pPr>
      <w:r w:rsidRPr="000F2B74">
        <w:rPr>
          <w:rFonts w:asciiTheme="majorBidi" w:hAnsiTheme="majorBidi" w:cstheme="majorBidi"/>
          <w:lang w:bidi="ar-IQ"/>
        </w:rPr>
        <w:lastRenderedPageBreak/>
        <w:t>1</w:t>
      </w:r>
      <w:r w:rsidR="00E61A8E" w:rsidRPr="000F2B74">
        <w:rPr>
          <w:rFonts w:asciiTheme="majorBidi" w:hAnsiTheme="majorBidi" w:cstheme="majorBidi"/>
          <w:lang w:bidi="ar-IQ"/>
        </w:rPr>
        <w:t>2</w:t>
      </w:r>
      <w:r w:rsidRPr="000F2B74">
        <w:rPr>
          <w:rFonts w:asciiTheme="majorBidi" w:hAnsiTheme="majorBidi" w:cstheme="majorBidi"/>
          <w:lang w:bidi="ar-IQ"/>
        </w:rPr>
        <w:t>.</w:t>
      </w:r>
      <w:r w:rsidRPr="000F2B74">
        <w:t xml:space="preserve"> </w:t>
      </w:r>
      <w:hyperlink r:id="rId16" w:history="1">
        <w:proofErr w:type="spellStart"/>
        <w:r w:rsidRPr="000F2B74">
          <w:t>Midena</w:t>
        </w:r>
        <w:proofErr w:type="spellEnd"/>
        <w:r w:rsidRPr="000F2B74">
          <w:t>,  E</w:t>
        </w:r>
      </w:hyperlink>
      <w:r w:rsidRPr="000F2B74">
        <w:t xml:space="preserve">.;  </w:t>
      </w:r>
      <w:hyperlink r:id="rId17" w:history="1">
        <w:proofErr w:type="spellStart"/>
        <w:r w:rsidRPr="000F2B74">
          <w:t>Lazzarini</w:t>
        </w:r>
        <w:proofErr w:type="spellEnd"/>
        <w:r w:rsidRPr="000F2B74">
          <w:t>, D</w:t>
        </w:r>
      </w:hyperlink>
      <w:r w:rsidRPr="000F2B74">
        <w:t xml:space="preserve">.; </w:t>
      </w:r>
      <w:hyperlink r:id="rId18" w:history="1">
        <w:r w:rsidRPr="000F2B74">
          <w:t>Catania, AG</w:t>
        </w:r>
      </w:hyperlink>
      <w:r w:rsidRPr="000F2B74">
        <w:t>.</w:t>
      </w:r>
      <w:r w:rsidRPr="000F2B74">
        <w:rPr>
          <w:i/>
          <w:iCs/>
        </w:rPr>
        <w:t xml:space="preserve"> et al.</w:t>
      </w:r>
      <w:r w:rsidRPr="000F2B74">
        <w:t xml:space="preserve"> ( 2013).  Cytostatic and cytotoxic effects of 5-fluorouracil on human corneal epithelial cells and </w:t>
      </w:r>
      <w:proofErr w:type="spellStart"/>
      <w:r w:rsidRPr="000F2B74">
        <w:t>keratocytes</w:t>
      </w:r>
      <w:proofErr w:type="spellEnd"/>
      <w:r w:rsidRPr="000F2B74">
        <w:t>. 32(3):338-44.</w:t>
      </w:r>
    </w:p>
    <w:p w:rsidR="00842528" w:rsidRPr="000F2B74" w:rsidRDefault="00842528" w:rsidP="00E61A8E">
      <w:pPr>
        <w:shd w:val="clear" w:color="auto" w:fill="FFFFFF"/>
        <w:jc w:val="both"/>
      </w:pPr>
      <w:r w:rsidRPr="000F2B74">
        <w:rPr>
          <w:rFonts w:asciiTheme="majorBidi" w:hAnsiTheme="majorBidi" w:cstheme="majorBidi"/>
          <w:lang w:bidi="ar-IQ"/>
        </w:rPr>
        <w:t>1</w:t>
      </w:r>
      <w:r w:rsidR="00E61A8E" w:rsidRPr="000F2B74">
        <w:rPr>
          <w:rFonts w:asciiTheme="majorBidi" w:hAnsiTheme="majorBidi" w:cstheme="majorBidi"/>
          <w:lang w:bidi="ar-IQ"/>
        </w:rPr>
        <w:t>3</w:t>
      </w:r>
      <w:r w:rsidRPr="000F2B74">
        <w:rPr>
          <w:rFonts w:asciiTheme="majorBidi" w:hAnsiTheme="majorBidi" w:cstheme="majorBidi"/>
          <w:lang w:bidi="ar-IQ"/>
        </w:rPr>
        <w:t>.</w:t>
      </w:r>
      <w:r w:rsidRPr="000F2B74">
        <w:t xml:space="preserve"> </w:t>
      </w:r>
      <w:proofErr w:type="spellStart"/>
      <w:r w:rsidRPr="000F2B74">
        <w:rPr>
          <w:rStyle w:val="author3"/>
        </w:rPr>
        <w:t>Airley</w:t>
      </w:r>
      <w:proofErr w:type="spellEnd"/>
      <w:r w:rsidRPr="000F2B74">
        <w:t xml:space="preserve">, </w:t>
      </w:r>
      <w:r w:rsidRPr="000F2B74">
        <w:rPr>
          <w:rStyle w:val="author3"/>
        </w:rPr>
        <w:t xml:space="preserve">R E. and </w:t>
      </w:r>
      <w:proofErr w:type="spellStart"/>
      <w:r w:rsidRPr="000F2B74">
        <w:rPr>
          <w:rStyle w:val="author3"/>
        </w:rPr>
        <w:t>Mobasheri</w:t>
      </w:r>
      <w:proofErr w:type="spellEnd"/>
      <w:r w:rsidRPr="000F2B74">
        <w:rPr>
          <w:rStyle w:val="author3"/>
        </w:rPr>
        <w:t xml:space="preserve">, A. </w:t>
      </w:r>
      <w:r w:rsidRPr="000F2B74">
        <w:t>(</w:t>
      </w:r>
      <w:r w:rsidRPr="000F2B74">
        <w:rPr>
          <w:rStyle w:val="year"/>
        </w:rPr>
        <w:t>2007</w:t>
      </w:r>
      <w:r w:rsidRPr="000F2B74">
        <w:t xml:space="preserve">). </w:t>
      </w:r>
      <w:r w:rsidRPr="000F2B74">
        <w:rPr>
          <w:kern w:val="36"/>
        </w:rPr>
        <w:t xml:space="preserve">Hypoxic regulation of glucose transport, anaerobic metabolism and angiogenesis in cancer: novel pathways and targets for anticancer therapeutics. </w:t>
      </w:r>
      <w:r w:rsidRPr="000F2B74">
        <w:rPr>
          <w:rStyle w:val="container2"/>
        </w:rPr>
        <w:t>Chemotherapy</w:t>
      </w:r>
      <w:r w:rsidRPr="000F2B74">
        <w:t xml:space="preserve">. </w:t>
      </w:r>
      <w:r w:rsidRPr="000F2B74">
        <w:rPr>
          <w:rStyle w:val="volume"/>
        </w:rPr>
        <w:t>53</w:t>
      </w:r>
      <w:r w:rsidRPr="000F2B74">
        <w:rPr>
          <w:rStyle w:val="info3"/>
        </w:rPr>
        <w:t xml:space="preserve">( </w:t>
      </w:r>
      <w:r w:rsidRPr="000F2B74">
        <w:rPr>
          <w:rStyle w:val="issue"/>
        </w:rPr>
        <w:t>4</w:t>
      </w:r>
      <w:r w:rsidRPr="000F2B74">
        <w:t>)</w:t>
      </w:r>
      <w:r w:rsidRPr="000F2B74">
        <w:rPr>
          <w:rStyle w:val="info3"/>
        </w:rPr>
        <w:t xml:space="preserve">: </w:t>
      </w:r>
      <w:r w:rsidRPr="000F2B74">
        <w:rPr>
          <w:rStyle w:val="pages"/>
        </w:rPr>
        <w:t>233-256.</w:t>
      </w:r>
    </w:p>
    <w:p w:rsidR="00842528" w:rsidRPr="0045515C" w:rsidRDefault="00842528" w:rsidP="00E61A8E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F2B74">
        <w:rPr>
          <w:rFonts w:asciiTheme="majorBidi" w:hAnsiTheme="majorBidi" w:cstheme="majorBidi"/>
          <w:lang w:bidi="ar-IQ"/>
        </w:rPr>
        <w:t>1</w:t>
      </w:r>
      <w:r w:rsidR="00E61A8E" w:rsidRPr="000F2B74">
        <w:rPr>
          <w:rFonts w:asciiTheme="majorBidi" w:hAnsiTheme="majorBidi" w:cstheme="majorBidi"/>
          <w:lang w:bidi="ar-IQ"/>
        </w:rPr>
        <w:t>4</w:t>
      </w:r>
      <w:r w:rsidRPr="000F2B74">
        <w:rPr>
          <w:rFonts w:asciiTheme="majorBidi" w:hAnsiTheme="majorBidi" w:cstheme="majorBidi"/>
          <w:lang w:bidi="ar-IQ"/>
        </w:rPr>
        <w:t>.</w:t>
      </w:r>
      <w:r w:rsidRPr="000F2B74">
        <w:t xml:space="preserve"> Su, H.;  </w:t>
      </w:r>
      <w:hyperlink r:id="rId19" w:history="1">
        <w:r w:rsidRPr="000F2B74">
          <w:rPr>
            <w:rStyle w:val="Hyperlink"/>
            <w:u w:val="none"/>
          </w:rPr>
          <w:t xml:space="preserve"> </w:t>
        </w:r>
        <w:proofErr w:type="spellStart"/>
        <w:r w:rsidRPr="000F2B74">
          <w:rPr>
            <w:rStyle w:val="Hyperlink"/>
            <w:u w:val="none"/>
          </w:rPr>
          <w:t>Bodenstein</w:t>
        </w:r>
        <w:proofErr w:type="spellEnd"/>
      </w:hyperlink>
      <w:r w:rsidRPr="000F2B74">
        <w:rPr>
          <w:rStyle w:val="xref-sep"/>
        </w:rPr>
        <w:t xml:space="preserve">, </w:t>
      </w:r>
      <w:r w:rsidRPr="000F2B74">
        <w:rPr>
          <w:rStyle w:val="name"/>
        </w:rPr>
        <w:t xml:space="preserve">C.; </w:t>
      </w:r>
      <w:hyperlink r:id="rId20" w:history="1">
        <w:r w:rsidRPr="000F2B74">
          <w:rPr>
            <w:rStyle w:val="Hyperlink"/>
            <w:u w:val="none"/>
          </w:rPr>
          <w:t xml:space="preserve"> Dumont</w:t>
        </w:r>
      </w:hyperlink>
      <w:r w:rsidRPr="000F2B74">
        <w:rPr>
          <w:rStyle w:val="xref-sep"/>
        </w:rPr>
        <w:t>,</w:t>
      </w:r>
      <w:r w:rsidRPr="0045515C">
        <w:t xml:space="preserve"> R. A.</w:t>
      </w:r>
      <w:r w:rsidRPr="0045515C">
        <w:rPr>
          <w:i/>
          <w:iCs/>
        </w:rPr>
        <w:t xml:space="preserve"> et al.</w:t>
      </w:r>
      <w:r w:rsidRPr="0045515C">
        <w:rPr>
          <w:rStyle w:val="xref-sep"/>
        </w:rPr>
        <w:t xml:space="preserve"> (2013).</w:t>
      </w:r>
      <w:r w:rsidRPr="0045515C">
        <w:t xml:space="preserve"> Monitoring </w:t>
      </w:r>
      <w:proofErr w:type="spellStart"/>
      <w:r w:rsidRPr="0045515C">
        <w:t>Tumor</w:t>
      </w:r>
      <w:proofErr w:type="spellEnd"/>
      <w:r w:rsidRPr="0045515C">
        <w:t xml:space="preserve"> Glucose Utilization by Positron Emission Tomography for the Prediction of Treatment Response to Epidermal Growth Factor Receptor Kinase Inhibitors</w:t>
      </w:r>
      <w:r w:rsidRPr="0045515C">
        <w:rPr>
          <w:rFonts w:eastAsia="Calibri"/>
        </w:rPr>
        <w:t>. Clinical Cancer Research. 19 (16): 4293</w:t>
      </w:r>
      <w:r w:rsidRPr="0045515C">
        <w:rPr>
          <w:rFonts w:eastAsia="Calibri"/>
          <w:sz w:val="28"/>
          <w:szCs w:val="28"/>
        </w:rPr>
        <w:t>.</w:t>
      </w:r>
    </w:p>
    <w:sectPr w:rsidR="00842528" w:rsidRPr="0045515C" w:rsidSect="0045515C">
      <w:type w:val="continuous"/>
      <w:pgSz w:w="11906" w:h="16838"/>
      <w:pgMar w:top="1440" w:right="1800" w:bottom="1440" w:left="1800" w:header="708" w:footer="708" w:gutter="0"/>
      <w:cols w:num="2"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A4" w:rsidRDefault="00FA3CA4" w:rsidP="00241F93">
      <w:r>
        <w:separator/>
      </w:r>
    </w:p>
  </w:endnote>
  <w:endnote w:type="continuationSeparator" w:id="0">
    <w:p w:rsidR="00FA3CA4" w:rsidRDefault="00FA3CA4" w:rsidP="0024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-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-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998290"/>
      <w:docPartObj>
        <w:docPartGallery w:val="Page Numbers (Bottom of Page)"/>
        <w:docPartUnique/>
      </w:docPartObj>
    </w:sdtPr>
    <w:sdtContent>
      <w:p w:rsidR="000F2B74" w:rsidRDefault="00346213">
        <w:pPr>
          <w:pStyle w:val="a6"/>
          <w:jc w:val="center"/>
        </w:pPr>
        <w:r w:rsidRPr="000F2B74">
          <w:rPr>
            <w:sz w:val="20"/>
            <w:szCs w:val="20"/>
          </w:rPr>
          <w:fldChar w:fldCharType="begin"/>
        </w:r>
        <w:r w:rsidR="000F2B74" w:rsidRPr="000F2B74">
          <w:rPr>
            <w:sz w:val="20"/>
            <w:szCs w:val="20"/>
          </w:rPr>
          <w:instrText>PAGE   \* MERGEFORMAT</w:instrText>
        </w:r>
        <w:r w:rsidRPr="000F2B74">
          <w:rPr>
            <w:sz w:val="20"/>
            <w:szCs w:val="20"/>
          </w:rPr>
          <w:fldChar w:fldCharType="separate"/>
        </w:r>
        <w:r w:rsidR="00661A2E" w:rsidRPr="00661A2E">
          <w:rPr>
            <w:noProof/>
            <w:sz w:val="20"/>
            <w:szCs w:val="20"/>
            <w:lang w:val="ar-SA"/>
          </w:rPr>
          <w:t>98</w:t>
        </w:r>
        <w:r w:rsidRPr="000F2B74">
          <w:rPr>
            <w:sz w:val="20"/>
            <w:szCs w:val="20"/>
          </w:rPr>
          <w:fldChar w:fldCharType="end"/>
        </w:r>
      </w:p>
    </w:sdtContent>
  </w:sdt>
  <w:p w:rsidR="000F2B74" w:rsidRDefault="000F2B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A4" w:rsidRDefault="00FA3CA4" w:rsidP="00241F93">
      <w:r>
        <w:separator/>
      </w:r>
    </w:p>
  </w:footnote>
  <w:footnote w:type="continuationSeparator" w:id="0">
    <w:p w:rsidR="00FA3CA4" w:rsidRDefault="00FA3CA4" w:rsidP="00241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93" w:rsidRDefault="00241F93">
    <w:pPr>
      <w:pStyle w:val="a5"/>
      <w:rPr>
        <w:lang w:bidi="ar-IQ"/>
      </w:rPr>
    </w:pPr>
    <w:r w:rsidRPr="008F5189">
      <w:rPr>
        <w:rFonts w:eastAsia="Calibri" w:cs="Arial"/>
        <w:b/>
        <w:bCs/>
        <w:sz w:val="20"/>
        <w:szCs w:val="20"/>
        <w:u w:val="single"/>
        <w:lang w:bidi="ar-JO"/>
      </w:rPr>
      <w:t xml:space="preserve">Medical Journal of Babylon-Vol. </w:t>
    </w:r>
    <w:r w:rsidRPr="008F5189">
      <w:rPr>
        <w:rFonts w:eastAsia="Calibri" w:cs="Arial"/>
        <w:b/>
        <w:bCs/>
        <w:sz w:val="20"/>
        <w:szCs w:val="20"/>
        <w:u w:val="single"/>
        <w:lang w:val="en-IN" w:bidi="ar-JO"/>
      </w:rPr>
      <w:t>11</w:t>
    </w:r>
    <w:r w:rsidRPr="008F5189">
      <w:rPr>
        <w:rFonts w:eastAsia="Calibri" w:cs="Arial"/>
        <w:b/>
        <w:bCs/>
        <w:sz w:val="20"/>
        <w:szCs w:val="20"/>
        <w:u w:val="single"/>
        <w:lang w:bidi="ar-JO"/>
      </w:rPr>
      <w:t xml:space="preserve">- No. </w:t>
    </w:r>
    <w:r w:rsidRPr="008F5189">
      <w:rPr>
        <w:rFonts w:eastAsia="Calibri" w:cs="Arial"/>
        <w:b/>
        <w:bCs/>
        <w:sz w:val="20"/>
        <w:szCs w:val="20"/>
        <w:u w:val="single"/>
        <w:lang w:val="en-IN" w:bidi="ar-JO"/>
      </w:rPr>
      <w:t>1</w:t>
    </w:r>
    <w:r w:rsidRPr="008F5189">
      <w:rPr>
        <w:rFonts w:eastAsia="Calibri" w:cs="Arial"/>
        <w:b/>
        <w:bCs/>
        <w:sz w:val="20"/>
        <w:szCs w:val="20"/>
        <w:u w:val="single"/>
        <w:lang w:bidi="ar-JO"/>
      </w:rPr>
      <w:t xml:space="preserve"> -201</w:t>
    </w:r>
    <w:r w:rsidRPr="008F5189">
      <w:rPr>
        <w:rFonts w:eastAsia="Calibri" w:cs="Arial"/>
        <w:b/>
        <w:bCs/>
        <w:sz w:val="20"/>
        <w:szCs w:val="20"/>
        <w:u w:val="single"/>
        <w:lang w:val="en-IN" w:bidi="ar-JO"/>
      </w:rPr>
      <w:t>4</w:t>
    </w:r>
    <w:r w:rsidRPr="008F5189">
      <w:rPr>
        <w:rFonts w:eastAsia="Calibri" w:cs="Arial"/>
        <w:b/>
        <w:bCs/>
        <w:sz w:val="20"/>
        <w:szCs w:val="20"/>
        <w:u w:val="single"/>
        <w:lang w:bidi="ar-JO"/>
      </w:rPr>
      <w:t xml:space="preserve">     </w:t>
    </w:r>
    <w:r w:rsidRPr="008F5189">
      <w:rPr>
        <w:rFonts w:eastAsia="Calibri" w:cs="Arial"/>
        <w:b/>
        <w:bCs/>
        <w:sz w:val="20"/>
        <w:szCs w:val="20"/>
        <w:u w:val="single"/>
        <w:rtl/>
        <w:lang w:bidi="ar-JO"/>
      </w:rPr>
      <w:t xml:space="preserve"> مجلة بابل الطبية- المجلد ال</w:t>
    </w:r>
    <w:r w:rsidRPr="008F5189">
      <w:rPr>
        <w:rFonts w:eastAsia="Calibri" w:cs="Arial" w:hint="cs"/>
        <w:b/>
        <w:bCs/>
        <w:sz w:val="20"/>
        <w:szCs w:val="20"/>
        <w:u w:val="single"/>
        <w:rtl/>
        <w:lang w:bidi="ar-JO"/>
      </w:rPr>
      <w:t xml:space="preserve">حادي عشر </w:t>
    </w:r>
    <w:r w:rsidRPr="008F5189">
      <w:rPr>
        <w:rFonts w:eastAsia="Calibri" w:cs="Arial"/>
        <w:b/>
        <w:bCs/>
        <w:sz w:val="20"/>
        <w:szCs w:val="20"/>
        <w:u w:val="single"/>
        <w:rtl/>
        <w:lang w:bidi="ar-JO"/>
      </w:rPr>
      <w:t xml:space="preserve">- العدد </w:t>
    </w:r>
    <w:proofErr w:type="spellStart"/>
    <w:r w:rsidRPr="008F5189">
      <w:rPr>
        <w:rFonts w:eastAsia="Calibri" w:cs="Arial" w:hint="cs"/>
        <w:b/>
        <w:bCs/>
        <w:sz w:val="20"/>
        <w:szCs w:val="20"/>
        <w:u w:val="single"/>
        <w:rtl/>
        <w:lang w:bidi="ar-JO"/>
      </w:rPr>
      <w:t>الأ</w:t>
    </w:r>
    <w:proofErr w:type="spellEnd"/>
    <w:r w:rsidRPr="008F5189">
      <w:rPr>
        <w:rFonts w:eastAsia="Calibri" w:cs="Arial" w:hint="cs"/>
        <w:b/>
        <w:bCs/>
        <w:sz w:val="20"/>
        <w:szCs w:val="20"/>
        <w:u w:val="single"/>
        <w:rtl/>
        <w:lang w:bidi="ar-IQ"/>
      </w:rPr>
      <w:t>ول</w:t>
    </w:r>
    <w:proofErr w:type="spellStart"/>
    <w:r w:rsidRPr="008F5189">
      <w:rPr>
        <w:rFonts w:eastAsia="Calibri" w:cs="Arial"/>
        <w:b/>
        <w:bCs/>
        <w:sz w:val="20"/>
        <w:szCs w:val="20"/>
        <w:u w:val="single"/>
        <w:rtl/>
        <w:lang w:bidi="ar-JO"/>
      </w:rPr>
      <w:t>-</w:t>
    </w:r>
    <w:proofErr w:type="spellEnd"/>
    <w:r w:rsidRPr="008F5189">
      <w:rPr>
        <w:rFonts w:eastAsia="Calibri" w:cs="Arial"/>
        <w:b/>
        <w:bCs/>
        <w:sz w:val="20"/>
        <w:szCs w:val="20"/>
        <w:u w:val="single"/>
        <w:rtl/>
        <w:lang w:bidi="ar-JO"/>
      </w:rPr>
      <w:t xml:space="preserve"> 201</w:t>
    </w:r>
    <w:r w:rsidRPr="008F5189">
      <w:rPr>
        <w:rFonts w:eastAsia="Calibri" w:cs="Arial" w:hint="cs"/>
        <w:b/>
        <w:bCs/>
        <w:sz w:val="20"/>
        <w:szCs w:val="20"/>
        <w:u w:val="single"/>
        <w:rtl/>
        <w:lang w:bidi="ar-IQ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F4"/>
    <w:multiLevelType w:val="hybridMultilevel"/>
    <w:tmpl w:val="36CED2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116CE"/>
    <w:multiLevelType w:val="hybridMultilevel"/>
    <w:tmpl w:val="36CED2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2528"/>
    <w:rsid w:val="00004C9C"/>
    <w:rsid w:val="00031FEF"/>
    <w:rsid w:val="000A3E31"/>
    <w:rsid w:val="000F2B74"/>
    <w:rsid w:val="00115FF7"/>
    <w:rsid w:val="00150E87"/>
    <w:rsid w:val="001F0A4B"/>
    <w:rsid w:val="001F4ECE"/>
    <w:rsid w:val="00202AFE"/>
    <w:rsid w:val="00241F93"/>
    <w:rsid w:val="00260E05"/>
    <w:rsid w:val="002E548A"/>
    <w:rsid w:val="003458CC"/>
    <w:rsid w:val="00346213"/>
    <w:rsid w:val="0039455B"/>
    <w:rsid w:val="0041062C"/>
    <w:rsid w:val="004478B8"/>
    <w:rsid w:val="0045515C"/>
    <w:rsid w:val="004644FB"/>
    <w:rsid w:val="00505ADE"/>
    <w:rsid w:val="00516354"/>
    <w:rsid w:val="00544895"/>
    <w:rsid w:val="005823B0"/>
    <w:rsid w:val="00613343"/>
    <w:rsid w:val="006339C7"/>
    <w:rsid w:val="00661A2E"/>
    <w:rsid w:val="007E2BD0"/>
    <w:rsid w:val="00812A22"/>
    <w:rsid w:val="0083442E"/>
    <w:rsid w:val="00842528"/>
    <w:rsid w:val="00893EB5"/>
    <w:rsid w:val="00896EF5"/>
    <w:rsid w:val="008A2F27"/>
    <w:rsid w:val="00914454"/>
    <w:rsid w:val="0094235E"/>
    <w:rsid w:val="009B4DC2"/>
    <w:rsid w:val="00A4452D"/>
    <w:rsid w:val="00AE2B93"/>
    <w:rsid w:val="00AF0F2D"/>
    <w:rsid w:val="00AF1C6E"/>
    <w:rsid w:val="00B113FE"/>
    <w:rsid w:val="00B825EA"/>
    <w:rsid w:val="00C05E35"/>
    <w:rsid w:val="00C16FFF"/>
    <w:rsid w:val="00C31098"/>
    <w:rsid w:val="00CC1024"/>
    <w:rsid w:val="00CC6E35"/>
    <w:rsid w:val="00CE0124"/>
    <w:rsid w:val="00D13D51"/>
    <w:rsid w:val="00D4757A"/>
    <w:rsid w:val="00D553A4"/>
    <w:rsid w:val="00E177DC"/>
    <w:rsid w:val="00E32F93"/>
    <w:rsid w:val="00E61A8E"/>
    <w:rsid w:val="00E93E11"/>
    <w:rsid w:val="00F537C3"/>
    <w:rsid w:val="00F56CDE"/>
    <w:rsid w:val="00FA3CA4"/>
    <w:rsid w:val="00FB180E"/>
    <w:rsid w:val="00FB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2">
    <w:name w:val="author2"/>
    <w:basedOn w:val="a0"/>
    <w:rsid w:val="00842528"/>
  </w:style>
  <w:style w:type="paragraph" w:styleId="a3">
    <w:name w:val="List Paragraph"/>
    <w:basedOn w:val="a"/>
    <w:uiPriority w:val="34"/>
    <w:qFormat/>
    <w:rsid w:val="00842528"/>
    <w:pPr>
      <w:ind w:left="720"/>
      <w:contextualSpacing/>
    </w:pPr>
  </w:style>
  <w:style w:type="character" w:styleId="Hyperlink">
    <w:name w:val="Hyperlink"/>
    <w:uiPriority w:val="99"/>
    <w:rsid w:val="00842528"/>
    <w:rPr>
      <w:color w:val="333300"/>
      <w:u w:val="single"/>
    </w:rPr>
  </w:style>
  <w:style w:type="character" w:customStyle="1" w:styleId="reference-text">
    <w:name w:val="reference-text"/>
    <w:basedOn w:val="a0"/>
    <w:rsid w:val="00842528"/>
  </w:style>
  <w:style w:type="character" w:customStyle="1" w:styleId="citation">
    <w:name w:val="citation"/>
    <w:basedOn w:val="a0"/>
    <w:rsid w:val="00842528"/>
  </w:style>
  <w:style w:type="character" w:customStyle="1" w:styleId="citation-abbreviation">
    <w:name w:val="citation-abbreviation"/>
    <w:basedOn w:val="a0"/>
    <w:rsid w:val="00842528"/>
  </w:style>
  <w:style w:type="character" w:customStyle="1" w:styleId="citation-volume">
    <w:name w:val="citation-volume"/>
    <w:basedOn w:val="a0"/>
    <w:rsid w:val="00842528"/>
  </w:style>
  <w:style w:type="character" w:customStyle="1" w:styleId="citation-issue">
    <w:name w:val="citation-issue"/>
    <w:basedOn w:val="a0"/>
    <w:rsid w:val="00842528"/>
  </w:style>
  <w:style w:type="character" w:customStyle="1" w:styleId="citation-flpages">
    <w:name w:val="citation-flpages"/>
    <w:basedOn w:val="a0"/>
    <w:rsid w:val="00842528"/>
  </w:style>
  <w:style w:type="character" w:customStyle="1" w:styleId="fm-vol-iss-date">
    <w:name w:val="fm-vol-iss-date"/>
    <w:basedOn w:val="a0"/>
    <w:rsid w:val="00842528"/>
  </w:style>
  <w:style w:type="character" w:customStyle="1" w:styleId="name">
    <w:name w:val="name"/>
    <w:basedOn w:val="a0"/>
    <w:rsid w:val="00842528"/>
  </w:style>
  <w:style w:type="character" w:customStyle="1" w:styleId="xref-sep">
    <w:name w:val="xref-sep"/>
    <w:basedOn w:val="a0"/>
    <w:rsid w:val="00842528"/>
  </w:style>
  <w:style w:type="character" w:customStyle="1" w:styleId="container2">
    <w:name w:val="container2"/>
    <w:basedOn w:val="a0"/>
    <w:rsid w:val="00842528"/>
  </w:style>
  <w:style w:type="character" w:customStyle="1" w:styleId="year">
    <w:name w:val="year"/>
    <w:basedOn w:val="a0"/>
    <w:rsid w:val="00842528"/>
  </w:style>
  <w:style w:type="character" w:customStyle="1" w:styleId="info3">
    <w:name w:val="info3"/>
    <w:basedOn w:val="a0"/>
    <w:rsid w:val="00842528"/>
  </w:style>
  <w:style w:type="character" w:customStyle="1" w:styleId="volume">
    <w:name w:val="volume"/>
    <w:basedOn w:val="a0"/>
    <w:rsid w:val="00842528"/>
  </w:style>
  <w:style w:type="character" w:customStyle="1" w:styleId="issue">
    <w:name w:val="issue"/>
    <w:basedOn w:val="a0"/>
    <w:rsid w:val="00842528"/>
  </w:style>
  <w:style w:type="character" w:customStyle="1" w:styleId="pages">
    <w:name w:val="pages"/>
    <w:basedOn w:val="a0"/>
    <w:rsid w:val="00842528"/>
  </w:style>
  <w:style w:type="character" w:customStyle="1" w:styleId="author3">
    <w:name w:val="author3"/>
    <w:basedOn w:val="a0"/>
    <w:rsid w:val="00842528"/>
  </w:style>
  <w:style w:type="paragraph" w:styleId="a4">
    <w:name w:val="Balloon Text"/>
    <w:basedOn w:val="a"/>
    <w:link w:val="Char"/>
    <w:uiPriority w:val="99"/>
    <w:semiHidden/>
    <w:unhideWhenUsed/>
    <w:rsid w:val="00E177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177D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5">
    <w:name w:val="header"/>
    <w:basedOn w:val="a"/>
    <w:link w:val="Char0"/>
    <w:uiPriority w:val="99"/>
    <w:unhideWhenUsed/>
    <w:rsid w:val="00241F9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241F9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footer"/>
    <w:basedOn w:val="a"/>
    <w:link w:val="Char1"/>
    <w:uiPriority w:val="99"/>
    <w:unhideWhenUsed/>
    <w:rsid w:val="00241F9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241F9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cbi.nlm.nih.gov/pubmed/?term=Schuler%20P%5Bauth%5D" TargetMode="External"/><Relationship Id="rId18" Type="http://schemas.openxmlformats.org/officeDocument/2006/relationships/hyperlink" Target="http://www.ncbi.nlm.nih.gov/pubmed?term=Catania%20AG%5BAuthor%5D&amp;cauthor=true&amp;cauthor_uid=2296835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globocan.iarc.fr/factsheet.asp" TargetMode="External"/><Relationship Id="rId17" Type="http://schemas.openxmlformats.org/officeDocument/2006/relationships/hyperlink" Target="http://www.ncbi.nlm.nih.gov/pubmed?term=Lazzarini%20D%5BAuthor%5D&amp;cauthor=true&amp;cauthor_uid=229683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Midena%20E%5BAuthor%5D&amp;cauthor=true&amp;cauthor_uid=22968358" TargetMode="External"/><Relationship Id="rId20" Type="http://schemas.openxmlformats.org/officeDocument/2006/relationships/hyperlink" Target="http://clincancerres.aacrjournals.org/search?author1=Rebecca+A.+Dumont&amp;sortspec=date&amp;submit=Subm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cancerresearchuk.org/cancerstats/world/the-global-pictu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?term=Greve%20J%5Bauth%5D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info.cancerresearchuk.org/cancerstats/world/the-global-picture/" TargetMode="External"/><Relationship Id="rId19" Type="http://schemas.openxmlformats.org/officeDocument/2006/relationships/hyperlink" Target="http://clincancerres.aacrjournals.org/search?author1=Claudia+Bodenstein&amp;sortspec=date&amp;submit=Subm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cbi.nlm.nih.gov/pubmed/?term=Trellakis%20S%5Bauth%5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1925</Words>
  <Characters>10978</Characters>
  <Application>Microsoft Office Word</Application>
  <DocSecurity>0</DocSecurity>
  <Lines>91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DamasGate.com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naseem</dc:creator>
  <cp:lastModifiedBy>Dr.Abdulsamie</cp:lastModifiedBy>
  <cp:revision>29</cp:revision>
  <cp:lastPrinted>2013-12-16T20:14:00Z</cp:lastPrinted>
  <dcterms:created xsi:type="dcterms:W3CDTF">2013-10-05T17:03:00Z</dcterms:created>
  <dcterms:modified xsi:type="dcterms:W3CDTF">2014-04-29T22:09:00Z</dcterms:modified>
</cp:coreProperties>
</file>