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F93" w:rsidRDefault="00061D14" w:rsidP="00861683">
      <w:pPr>
        <w:spacing w:after="80" w:line="240" w:lineRule="auto"/>
        <w:jc w:val="both"/>
        <w:rPr>
          <w:rFonts w:asciiTheme="majorBidi" w:hAnsiTheme="majorBidi" w:cstheme="majorBidi"/>
          <w:bCs/>
          <w:sz w:val="20"/>
        </w:rPr>
      </w:pPr>
      <w:r w:rsidRPr="00061D14">
        <w:rPr>
          <w:noProof/>
        </w:rPr>
        <w:pict>
          <v:shapetype id="_x0000_t202" coordsize="21600,21600" o:spt="202" path="m,l,21600r21600,l21600,xe">
            <v:stroke joinstyle="miter"/>
            <v:path gradientshapeok="t" o:connecttype="rect"/>
          </v:shapetype>
          <v:shape id="مربع نص 2" o:spid="_x0000_s1029" type="#_x0000_t202" style="position:absolute;left:0;text-align:left;margin-left:2.25pt;margin-top:-14.1pt;width:414.75pt;height:161.25pt;flip:x;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mzPgIAAFYEAAAOAAAAZHJzL2Uyb0RvYy54bWysVM2O0zAQviPxDpbvNGnabtuo6WrpUkBa&#10;fqSFB3Acp7HwH7bbpNzhWbhy4MCbdN+GsVO65e+CyMHyZCbfzHzfTBaXnRRox6zjWhV4OEgxYorq&#10;iqtNgd++WT+aYeQ8URURWrEC75nDl8uHDxatyVmmGy0qZhGAKJe3psCN9yZPEkcbJokbaMMUOGtt&#10;JfFg2k1SWdICuhRJlqYXSattZaymzDl4e9078TLi1zWj/lVdO+aRKDDU5uNp41mGM1kuSL6xxDSc&#10;Hssg/1CFJFxB0hPUNfEEbS3/DUpyarXTtR9QLRNd15yy2AN0M0x/6ea2IYbFXoAcZ040uf8HS1/u&#10;XlvEqwKP0ilGikgQ6e7j4cvh8+Ebuvt0+IqyQFJrXA6xtwaiffdYdyB2bNiZG03fOaT0qiFqw66s&#10;1W3DSAVFDsOXydmnPY4LIGX7QleQi2y9jkBdbSWqBTfPfkADOwjygGz7k1Ss84jCy2w0HWcXE4wo&#10;+IbjdDSfTWI2kgegIIWxzj9lWqJwKbCFWYiJyO7G+VDYfUgId1rwas2FiIbdlCth0Y7A3Kzjc0T/&#10;KUwo1BZ4PskmPRd/hUjj8ycIyT0sgOCywLNTEMkDg09UFcfTEy76O5Qs1JHSwGLPp+/K7ihRqas9&#10;kGt1P+iwmHBptP2AUQtDXmD3fkssw0g8VyDQfDgeh62IxngyzcCw557y3EMUBagCe4z668rHTYqE&#10;mSsQcs0jsUHxvpJjrTC8ke/jooXtOLdj1P3vYPkdAAD//wMAUEsDBBQABgAIAAAAIQDn2o8d2wAA&#10;AAUBAAAPAAAAZHJzL2Rvd25yZXYueG1sTI/BTsMwEETvSPyDtUjcqJNUIhDiVKgSEuICLeXuxkti&#10;iNeR7abp37NwoZeVRjOaeVuvZjeICUO0nhTkiwwEUuuNpU7B7v3p5g5ETJqMHjyhghNGWDWXF7Wu&#10;jD/SBqdt6gSXUKy0gj6lsZIytj06HRd+RGLv0wenE8vQSRP0kcvdIIssu5VOW+KFXo+47rH93h6c&#10;Amumj035ZU0eX8vQvT2faPeyVur6an58AJFwTv9h+MVndGiYae8PZKIYFPAj6e+ytyyX9yD2Cooi&#10;z0E2tTynb34AAAD//wMAUEsBAi0AFAAGAAgAAAAhALaDOJL+AAAA4QEAABMAAAAAAAAAAAAAAAAA&#10;AAAAAFtDb250ZW50X1R5cGVzXS54bWxQSwECLQAUAAYACAAAACEAOP0h/9YAAACUAQAACwAAAAAA&#10;AAAAAAAAAAAvAQAAX3JlbHMvLnJlbHNQSwECLQAUAAYACAAAACEAG50psz4CAABWBAAADgAAAAAA&#10;AAAAAAAAAAAuAgAAZHJzL2Uyb0RvYy54bWxQSwECLQAUAAYACAAAACEA59qPHdsAAAAFAQAADwAA&#10;AAAAAAAAAAAAAACYBAAAZHJzL2Rvd25yZXYueG1sUEsFBgAAAAAEAAQA8wAAAKAFAAAAAA==&#10;" strokeweight="4.5pt">
            <v:stroke linestyle="thinThick"/>
            <v:textbox>
              <w:txbxContent>
                <w:p w:rsidR="000563D5" w:rsidRPr="00F60CC5" w:rsidRDefault="000563D5" w:rsidP="000563D5">
                  <w:pPr>
                    <w:pStyle w:val="a3"/>
                    <w:rPr>
                      <w:rFonts w:asciiTheme="majorBidi" w:hAnsiTheme="majorBidi" w:cstheme="majorBidi"/>
                      <w:b/>
                      <w:sz w:val="28"/>
                      <w:szCs w:val="28"/>
                    </w:rPr>
                  </w:pPr>
                  <w:r w:rsidRPr="00F60CC5">
                    <w:rPr>
                      <w:rFonts w:asciiTheme="majorBidi" w:hAnsiTheme="majorBidi" w:cstheme="majorBidi"/>
                      <w:b/>
                      <w:sz w:val="28"/>
                      <w:szCs w:val="28"/>
                    </w:rPr>
                    <w:t xml:space="preserve">Evaluation of </w:t>
                  </w:r>
                  <w:r>
                    <w:rPr>
                      <w:rFonts w:asciiTheme="majorBidi" w:hAnsiTheme="majorBidi" w:cstheme="majorBidi"/>
                      <w:b/>
                      <w:sz w:val="28"/>
                      <w:szCs w:val="28"/>
                    </w:rPr>
                    <w:t>C</w:t>
                  </w:r>
                  <w:r w:rsidRPr="00F60CC5">
                    <w:rPr>
                      <w:rFonts w:asciiTheme="majorBidi" w:hAnsiTheme="majorBidi" w:cstheme="majorBidi"/>
                      <w:b/>
                      <w:sz w:val="28"/>
                      <w:szCs w:val="28"/>
                    </w:rPr>
                    <w:t xml:space="preserve">ommercial </w:t>
                  </w:r>
                  <w:r>
                    <w:rPr>
                      <w:rFonts w:asciiTheme="majorBidi" w:hAnsiTheme="majorBidi" w:cstheme="majorBidi"/>
                      <w:b/>
                      <w:sz w:val="28"/>
                      <w:szCs w:val="28"/>
                    </w:rPr>
                    <w:t>R</w:t>
                  </w:r>
                  <w:r w:rsidRPr="00F60CC5">
                    <w:rPr>
                      <w:rFonts w:asciiTheme="majorBidi" w:hAnsiTheme="majorBidi" w:cstheme="majorBidi"/>
                      <w:b/>
                      <w:sz w:val="28"/>
                      <w:szCs w:val="28"/>
                    </w:rPr>
                    <w:t xml:space="preserve">eal </w:t>
                  </w:r>
                  <w:r>
                    <w:rPr>
                      <w:rFonts w:asciiTheme="majorBidi" w:hAnsiTheme="majorBidi" w:cstheme="majorBidi"/>
                      <w:b/>
                      <w:sz w:val="28"/>
                      <w:szCs w:val="28"/>
                    </w:rPr>
                    <w:t>T</w:t>
                  </w:r>
                  <w:r w:rsidRPr="00F60CC5">
                    <w:rPr>
                      <w:rFonts w:asciiTheme="majorBidi" w:hAnsiTheme="majorBidi" w:cstheme="majorBidi"/>
                      <w:b/>
                      <w:sz w:val="28"/>
                      <w:szCs w:val="28"/>
                    </w:rPr>
                    <w:t xml:space="preserve">ime PCR and </w:t>
                  </w:r>
                  <w:proofErr w:type="spellStart"/>
                  <w:r w:rsidRPr="00F60CC5">
                    <w:rPr>
                      <w:rFonts w:asciiTheme="majorBidi" w:hAnsiTheme="majorBidi" w:cstheme="majorBidi"/>
                      <w:b/>
                      <w:sz w:val="28"/>
                      <w:szCs w:val="28"/>
                    </w:rPr>
                    <w:t>Immunochromatography</w:t>
                  </w:r>
                  <w:proofErr w:type="spellEnd"/>
                  <w:r w:rsidRPr="00F60CC5">
                    <w:rPr>
                      <w:rFonts w:asciiTheme="majorBidi" w:hAnsiTheme="majorBidi" w:cstheme="majorBidi"/>
                      <w:b/>
                      <w:sz w:val="28"/>
                      <w:szCs w:val="28"/>
                    </w:rPr>
                    <w:t xml:space="preserve"> </w:t>
                  </w:r>
                  <w:r>
                    <w:rPr>
                      <w:rFonts w:asciiTheme="majorBidi" w:hAnsiTheme="majorBidi" w:cstheme="majorBidi"/>
                      <w:b/>
                      <w:sz w:val="28"/>
                      <w:szCs w:val="28"/>
                    </w:rPr>
                    <w:t>T</w:t>
                  </w:r>
                  <w:r w:rsidRPr="00F60CC5">
                    <w:rPr>
                      <w:rFonts w:asciiTheme="majorBidi" w:hAnsiTheme="majorBidi" w:cstheme="majorBidi"/>
                      <w:b/>
                      <w:sz w:val="28"/>
                      <w:szCs w:val="28"/>
                    </w:rPr>
                    <w:t xml:space="preserve">echniques in </w:t>
                  </w:r>
                  <w:r>
                    <w:rPr>
                      <w:rFonts w:asciiTheme="majorBidi" w:hAnsiTheme="majorBidi" w:cstheme="majorBidi"/>
                      <w:b/>
                      <w:sz w:val="28"/>
                      <w:szCs w:val="28"/>
                    </w:rPr>
                    <w:t>L</w:t>
                  </w:r>
                  <w:r w:rsidRPr="00F60CC5">
                    <w:rPr>
                      <w:rFonts w:asciiTheme="majorBidi" w:hAnsiTheme="majorBidi" w:cstheme="majorBidi"/>
                      <w:b/>
                      <w:sz w:val="28"/>
                      <w:szCs w:val="28"/>
                    </w:rPr>
                    <w:t xml:space="preserve">aboratory </w:t>
                  </w:r>
                  <w:r>
                    <w:rPr>
                      <w:rFonts w:asciiTheme="majorBidi" w:hAnsiTheme="majorBidi" w:cstheme="majorBidi"/>
                      <w:b/>
                      <w:sz w:val="28"/>
                      <w:szCs w:val="28"/>
                    </w:rPr>
                    <w:t>D</w:t>
                  </w:r>
                  <w:r w:rsidRPr="00F60CC5">
                    <w:rPr>
                      <w:rFonts w:asciiTheme="majorBidi" w:hAnsiTheme="majorBidi" w:cstheme="majorBidi"/>
                      <w:b/>
                      <w:sz w:val="28"/>
                      <w:szCs w:val="28"/>
                    </w:rPr>
                    <w:t xml:space="preserve">iagnosis of </w:t>
                  </w:r>
                  <w:r>
                    <w:rPr>
                      <w:rFonts w:asciiTheme="majorBidi" w:hAnsiTheme="majorBidi" w:cstheme="majorBidi"/>
                      <w:b/>
                      <w:sz w:val="28"/>
                      <w:szCs w:val="28"/>
                    </w:rPr>
                    <w:t>T</w:t>
                  </w:r>
                  <w:r w:rsidRPr="00F60CC5">
                    <w:rPr>
                      <w:rFonts w:asciiTheme="majorBidi" w:hAnsiTheme="majorBidi" w:cstheme="majorBidi"/>
                      <w:b/>
                      <w:sz w:val="28"/>
                      <w:szCs w:val="28"/>
                    </w:rPr>
                    <w:t xml:space="preserve">uberculosis </w:t>
                  </w:r>
                </w:p>
                <w:p w:rsidR="000563D5" w:rsidRPr="00861683" w:rsidRDefault="000563D5" w:rsidP="00AF5580">
                  <w:pPr>
                    <w:pStyle w:val="Authors"/>
                    <w:spacing w:after="0"/>
                    <w:rPr>
                      <w:rFonts w:asciiTheme="majorBidi" w:hAnsiTheme="majorBidi" w:cstheme="majorBidi"/>
                      <w:bCs/>
                      <w:sz w:val="28"/>
                      <w:szCs w:val="28"/>
                      <w:vertAlign w:val="superscript"/>
                    </w:rPr>
                  </w:pPr>
                  <w:r w:rsidRPr="00AF5580">
                    <w:rPr>
                      <w:rFonts w:asciiTheme="majorBidi" w:hAnsiTheme="majorBidi" w:cstheme="majorBidi"/>
                      <w:bCs/>
                      <w:sz w:val="24"/>
                      <w:szCs w:val="24"/>
                    </w:rPr>
                    <w:t>Mohammed A.K. Al-</w:t>
                  </w:r>
                  <w:proofErr w:type="spellStart"/>
                  <w:r w:rsidRPr="00AF5580">
                    <w:rPr>
                      <w:rFonts w:asciiTheme="majorBidi" w:hAnsiTheme="majorBidi" w:cstheme="majorBidi"/>
                      <w:bCs/>
                      <w:sz w:val="24"/>
                      <w:szCs w:val="24"/>
                    </w:rPr>
                    <w:t>Saadi</w:t>
                  </w:r>
                  <w:proofErr w:type="spellEnd"/>
                  <w:r w:rsidRPr="00AF5580">
                    <w:rPr>
                      <w:rFonts w:asciiTheme="majorBidi" w:hAnsiTheme="majorBidi" w:cstheme="majorBidi"/>
                      <w:bCs/>
                      <w:sz w:val="24"/>
                      <w:szCs w:val="24"/>
                      <w:vertAlign w:val="superscript"/>
                    </w:rPr>
                    <w:t xml:space="preserve"> </w:t>
                  </w:r>
                  <w:r w:rsidR="00AF5580">
                    <w:rPr>
                      <w:rFonts w:asciiTheme="majorBidi" w:hAnsiTheme="majorBidi" w:cstheme="majorBidi"/>
                      <w:bCs/>
                      <w:sz w:val="24"/>
                      <w:szCs w:val="24"/>
                    </w:rPr>
                    <w:t xml:space="preserve">*    </w:t>
                  </w:r>
                  <w:r w:rsidRPr="00AF5580">
                    <w:rPr>
                      <w:rFonts w:asciiTheme="majorBidi" w:hAnsiTheme="majorBidi" w:cstheme="majorBidi"/>
                      <w:bCs/>
                      <w:sz w:val="24"/>
                      <w:szCs w:val="24"/>
                    </w:rPr>
                    <w:t xml:space="preserve">   </w:t>
                  </w:r>
                  <w:proofErr w:type="spellStart"/>
                  <w:r w:rsidRPr="00AF5580">
                    <w:rPr>
                      <w:rFonts w:asciiTheme="majorBidi" w:hAnsiTheme="majorBidi" w:cstheme="majorBidi"/>
                      <w:bCs/>
                      <w:sz w:val="24"/>
                      <w:szCs w:val="24"/>
                    </w:rPr>
                    <w:t>Habeeb</w:t>
                  </w:r>
                  <w:proofErr w:type="spellEnd"/>
                  <w:r w:rsidRPr="00AF5580">
                    <w:rPr>
                      <w:rFonts w:asciiTheme="majorBidi" w:hAnsiTheme="majorBidi" w:cstheme="majorBidi"/>
                      <w:bCs/>
                      <w:sz w:val="24"/>
                      <w:szCs w:val="24"/>
                    </w:rPr>
                    <w:t xml:space="preserve"> S. </w:t>
                  </w:r>
                  <w:proofErr w:type="spellStart"/>
                  <w:r w:rsidRPr="00AF5580">
                    <w:rPr>
                      <w:rFonts w:asciiTheme="majorBidi" w:hAnsiTheme="majorBidi" w:cstheme="majorBidi"/>
                      <w:bCs/>
                      <w:sz w:val="24"/>
                      <w:szCs w:val="24"/>
                    </w:rPr>
                    <w:t>Naher</w:t>
                  </w:r>
                  <w:proofErr w:type="spellEnd"/>
                  <w:r w:rsidRPr="00AF5580">
                    <w:rPr>
                      <w:rFonts w:asciiTheme="majorBidi" w:hAnsiTheme="majorBidi" w:cstheme="majorBidi"/>
                      <w:bCs/>
                      <w:sz w:val="24"/>
                      <w:szCs w:val="24"/>
                    </w:rPr>
                    <w:t xml:space="preserve">**  </w:t>
                  </w:r>
                  <w:r w:rsidR="00AF5580">
                    <w:rPr>
                      <w:rFonts w:asciiTheme="majorBidi" w:hAnsiTheme="majorBidi" w:cstheme="majorBidi"/>
                      <w:bCs/>
                      <w:sz w:val="24"/>
                      <w:szCs w:val="24"/>
                    </w:rPr>
                    <w:t xml:space="preserve"> </w:t>
                  </w:r>
                  <w:r w:rsidRPr="00AF5580">
                    <w:rPr>
                      <w:rFonts w:asciiTheme="majorBidi" w:hAnsiTheme="majorBidi" w:cstheme="majorBidi"/>
                      <w:bCs/>
                      <w:sz w:val="24"/>
                      <w:szCs w:val="24"/>
                    </w:rPr>
                    <w:t xml:space="preserve">    </w:t>
                  </w:r>
                  <w:proofErr w:type="spellStart"/>
                  <w:r w:rsidRPr="00AF5580">
                    <w:rPr>
                      <w:rFonts w:asciiTheme="majorBidi" w:hAnsiTheme="majorBidi" w:cstheme="majorBidi"/>
                      <w:bCs/>
                      <w:sz w:val="24"/>
                      <w:szCs w:val="24"/>
                    </w:rPr>
                    <w:t>Ammar</w:t>
                  </w:r>
                  <w:proofErr w:type="spellEnd"/>
                  <w:r w:rsidRPr="00AF5580">
                    <w:rPr>
                      <w:rFonts w:asciiTheme="majorBidi" w:hAnsiTheme="majorBidi" w:cstheme="majorBidi"/>
                      <w:bCs/>
                      <w:sz w:val="24"/>
                      <w:szCs w:val="24"/>
                    </w:rPr>
                    <w:t xml:space="preserve"> </w:t>
                  </w:r>
                  <w:proofErr w:type="spellStart"/>
                  <w:r w:rsidRPr="00AF5580">
                    <w:rPr>
                      <w:rFonts w:asciiTheme="majorBidi" w:hAnsiTheme="majorBidi" w:cstheme="majorBidi"/>
                      <w:bCs/>
                      <w:sz w:val="24"/>
                      <w:szCs w:val="24"/>
                    </w:rPr>
                    <w:t>Abbas</w:t>
                  </w:r>
                  <w:proofErr w:type="spellEnd"/>
                  <w:r w:rsidRPr="00AF5580">
                    <w:rPr>
                      <w:rFonts w:asciiTheme="majorBidi" w:hAnsiTheme="majorBidi" w:cstheme="majorBidi"/>
                      <w:bCs/>
                      <w:sz w:val="24"/>
                      <w:szCs w:val="24"/>
                    </w:rPr>
                    <w:t xml:space="preserve"> </w:t>
                  </w:r>
                  <w:proofErr w:type="spellStart"/>
                  <w:r w:rsidRPr="00AF5580">
                    <w:rPr>
                      <w:rFonts w:asciiTheme="majorBidi" w:hAnsiTheme="majorBidi" w:cstheme="majorBidi"/>
                      <w:bCs/>
                      <w:sz w:val="24"/>
                      <w:szCs w:val="24"/>
                    </w:rPr>
                    <w:t>Shalan</w:t>
                  </w:r>
                  <w:proofErr w:type="spellEnd"/>
                  <w:r w:rsidRPr="00861683">
                    <w:rPr>
                      <w:rFonts w:asciiTheme="majorBidi" w:hAnsiTheme="majorBidi" w:cstheme="majorBidi"/>
                      <w:bCs/>
                      <w:sz w:val="28"/>
                      <w:szCs w:val="28"/>
                      <w:vertAlign w:val="superscript"/>
                    </w:rPr>
                    <w:t xml:space="preserve">***  </w:t>
                  </w:r>
                </w:p>
                <w:p w:rsidR="000563D5" w:rsidRPr="000563D5" w:rsidRDefault="000563D5" w:rsidP="004E7FC2">
                  <w:pPr>
                    <w:spacing w:after="0" w:line="240" w:lineRule="auto"/>
                    <w:jc w:val="both"/>
                    <w:rPr>
                      <w:rFonts w:asciiTheme="majorBidi" w:hAnsiTheme="majorBidi" w:cstheme="majorBidi"/>
                      <w:bCs/>
                      <w:sz w:val="24"/>
                      <w:szCs w:val="24"/>
                    </w:rPr>
                  </w:pPr>
                  <w:r w:rsidRPr="000563D5">
                    <w:rPr>
                      <w:rFonts w:asciiTheme="majorBidi" w:hAnsiTheme="majorBidi" w:cstheme="majorBidi"/>
                      <w:sz w:val="24"/>
                      <w:szCs w:val="24"/>
                      <w:vertAlign w:val="superscript"/>
                    </w:rPr>
                    <w:t>*</w:t>
                  </w:r>
                  <w:r w:rsidRPr="000563D5">
                    <w:rPr>
                      <w:rFonts w:asciiTheme="majorBidi" w:hAnsiTheme="majorBidi" w:cstheme="majorBidi"/>
                      <w:sz w:val="24"/>
                      <w:szCs w:val="24"/>
                    </w:rPr>
                    <w:t xml:space="preserve">Microbiology Dept., College of Medicine, </w:t>
                  </w:r>
                  <w:r w:rsidR="004E7FC2" w:rsidRPr="000563D5">
                    <w:rPr>
                      <w:rFonts w:asciiTheme="majorBidi" w:hAnsiTheme="majorBidi" w:cstheme="majorBidi"/>
                      <w:sz w:val="24"/>
                      <w:szCs w:val="24"/>
                    </w:rPr>
                    <w:t xml:space="preserve">University </w:t>
                  </w:r>
                  <w:r w:rsidR="004E7FC2">
                    <w:rPr>
                      <w:rFonts w:asciiTheme="majorBidi" w:hAnsiTheme="majorBidi" w:cstheme="majorBidi"/>
                      <w:sz w:val="24"/>
                      <w:szCs w:val="24"/>
                    </w:rPr>
                    <w:t xml:space="preserve">of </w:t>
                  </w:r>
                  <w:r w:rsidR="004E7FC2" w:rsidRPr="000563D5">
                    <w:rPr>
                      <w:rFonts w:asciiTheme="majorBidi" w:hAnsiTheme="majorBidi" w:cstheme="majorBidi"/>
                      <w:sz w:val="24"/>
                      <w:szCs w:val="24"/>
                    </w:rPr>
                    <w:t>Babylon</w:t>
                  </w:r>
                  <w:r w:rsidRPr="000563D5">
                    <w:rPr>
                      <w:rFonts w:asciiTheme="majorBidi" w:hAnsiTheme="majorBidi" w:cstheme="majorBidi"/>
                      <w:sz w:val="24"/>
                      <w:szCs w:val="24"/>
                    </w:rPr>
                    <w:t>, Iraq</w:t>
                  </w:r>
                  <w:r w:rsidR="006215F0">
                    <w:rPr>
                      <w:rFonts w:asciiTheme="majorBidi" w:hAnsiTheme="majorBidi" w:cstheme="majorBidi"/>
                      <w:bCs/>
                      <w:sz w:val="24"/>
                      <w:szCs w:val="24"/>
                    </w:rPr>
                    <w:t>.</w:t>
                  </w:r>
                  <w:r w:rsidRPr="000563D5">
                    <w:rPr>
                      <w:rFonts w:asciiTheme="majorBidi" w:hAnsiTheme="majorBidi" w:cstheme="majorBidi"/>
                      <w:bCs/>
                      <w:sz w:val="24"/>
                      <w:szCs w:val="24"/>
                    </w:rPr>
                    <w:t xml:space="preserve"> </w:t>
                  </w:r>
                  <w:hyperlink r:id="rId7" w:history="1">
                    <w:r w:rsidRPr="000563D5">
                      <w:rPr>
                        <w:rStyle w:val="Hyperlink"/>
                        <w:rFonts w:asciiTheme="majorBidi" w:hAnsiTheme="majorBidi" w:cstheme="majorBidi"/>
                        <w:bCs/>
                        <w:sz w:val="24"/>
                        <w:szCs w:val="24"/>
                      </w:rPr>
                      <w:t>mbmc.kadhum70@gmail.com</w:t>
                    </w:r>
                  </w:hyperlink>
                </w:p>
                <w:p w:rsidR="000563D5" w:rsidRPr="000563D5" w:rsidRDefault="000563D5" w:rsidP="004E7FC2">
                  <w:pPr>
                    <w:spacing w:after="0" w:line="240" w:lineRule="auto"/>
                    <w:jc w:val="both"/>
                    <w:rPr>
                      <w:rFonts w:asciiTheme="majorBidi" w:hAnsiTheme="majorBidi" w:cstheme="majorBidi"/>
                      <w:sz w:val="24"/>
                      <w:szCs w:val="24"/>
                      <w:vertAlign w:val="superscript"/>
                    </w:rPr>
                  </w:pPr>
                  <w:r w:rsidRPr="000563D5">
                    <w:rPr>
                      <w:rFonts w:asciiTheme="majorBidi" w:hAnsiTheme="majorBidi" w:cstheme="majorBidi"/>
                      <w:sz w:val="24"/>
                      <w:szCs w:val="24"/>
                      <w:vertAlign w:val="superscript"/>
                    </w:rPr>
                    <w:t>**</w:t>
                  </w:r>
                  <w:r w:rsidRPr="000563D5">
                    <w:rPr>
                      <w:rFonts w:asciiTheme="majorBidi" w:hAnsiTheme="majorBidi" w:cstheme="majorBidi"/>
                      <w:sz w:val="24"/>
                      <w:szCs w:val="24"/>
                    </w:rPr>
                    <w:t xml:space="preserve">Microbiology Dept., College of Medicine, </w:t>
                  </w:r>
                  <w:r w:rsidR="004E7FC2" w:rsidRPr="000563D5">
                    <w:rPr>
                      <w:rFonts w:asciiTheme="majorBidi" w:hAnsiTheme="majorBidi" w:cstheme="majorBidi"/>
                      <w:sz w:val="24"/>
                      <w:szCs w:val="24"/>
                    </w:rPr>
                    <w:t xml:space="preserve">University </w:t>
                  </w:r>
                  <w:r w:rsidR="004E7FC2">
                    <w:rPr>
                      <w:rFonts w:asciiTheme="majorBidi" w:hAnsiTheme="majorBidi" w:cstheme="majorBidi"/>
                      <w:sz w:val="24"/>
                      <w:szCs w:val="24"/>
                    </w:rPr>
                    <w:t xml:space="preserve">of </w:t>
                  </w:r>
                  <w:r w:rsidR="004E7FC2" w:rsidRPr="000563D5">
                    <w:rPr>
                      <w:rFonts w:asciiTheme="majorBidi" w:hAnsiTheme="majorBidi" w:cstheme="majorBidi"/>
                      <w:sz w:val="24"/>
                      <w:szCs w:val="24"/>
                    </w:rPr>
                    <w:t>Babylon</w:t>
                  </w:r>
                  <w:r w:rsidRPr="000563D5">
                    <w:rPr>
                      <w:rFonts w:asciiTheme="majorBidi" w:hAnsiTheme="majorBidi" w:cstheme="majorBidi"/>
                      <w:sz w:val="24"/>
                      <w:szCs w:val="24"/>
                    </w:rPr>
                    <w:t>, Iraq</w:t>
                  </w:r>
                  <w:r w:rsidR="006215F0">
                    <w:rPr>
                      <w:rFonts w:asciiTheme="majorBidi" w:hAnsiTheme="majorBidi" w:cstheme="majorBidi"/>
                      <w:sz w:val="24"/>
                      <w:szCs w:val="24"/>
                    </w:rPr>
                    <w:t>.</w:t>
                  </w:r>
                  <w:r w:rsidRPr="000563D5">
                    <w:rPr>
                      <w:rFonts w:asciiTheme="majorBidi" w:hAnsiTheme="majorBidi" w:cstheme="majorBidi"/>
                      <w:bCs/>
                      <w:sz w:val="24"/>
                      <w:szCs w:val="24"/>
                    </w:rPr>
                    <w:t xml:space="preserve"> </w:t>
                  </w:r>
                  <w:r w:rsidRPr="000563D5">
                    <w:rPr>
                      <w:rStyle w:val="Hyperlink"/>
                      <w:rFonts w:asciiTheme="majorBidi" w:hAnsiTheme="majorBidi" w:cstheme="majorBidi"/>
                      <w:sz w:val="24"/>
                      <w:szCs w:val="24"/>
                    </w:rPr>
                    <w:t>habeebnaher@yahoo.com</w:t>
                  </w:r>
                </w:p>
                <w:p w:rsidR="000563D5" w:rsidRPr="000563D5" w:rsidRDefault="000563D5" w:rsidP="004E7FC2">
                  <w:pPr>
                    <w:spacing w:after="0" w:line="240" w:lineRule="auto"/>
                    <w:jc w:val="both"/>
                    <w:rPr>
                      <w:rStyle w:val="Hyperlink"/>
                      <w:rFonts w:asciiTheme="majorBidi" w:hAnsiTheme="majorBidi" w:cstheme="majorBidi"/>
                      <w:sz w:val="24"/>
                      <w:szCs w:val="24"/>
                    </w:rPr>
                  </w:pPr>
                  <w:r w:rsidRPr="000563D5">
                    <w:rPr>
                      <w:rFonts w:asciiTheme="majorBidi" w:hAnsiTheme="majorBidi" w:cstheme="majorBidi"/>
                      <w:sz w:val="24"/>
                      <w:szCs w:val="24"/>
                      <w:vertAlign w:val="superscript"/>
                    </w:rPr>
                    <w:t>***</w:t>
                  </w:r>
                  <w:r w:rsidRPr="000563D5">
                    <w:rPr>
                      <w:rFonts w:asciiTheme="majorBidi" w:hAnsiTheme="majorBidi" w:cstheme="majorBidi"/>
                      <w:sz w:val="24"/>
                      <w:szCs w:val="24"/>
                    </w:rPr>
                    <w:t>Biology Department, College</w:t>
                  </w:r>
                  <w:r w:rsidR="004E7FC2">
                    <w:rPr>
                      <w:rFonts w:asciiTheme="majorBidi" w:hAnsiTheme="majorBidi" w:cstheme="majorBidi"/>
                      <w:sz w:val="24"/>
                      <w:szCs w:val="24"/>
                    </w:rPr>
                    <w:t xml:space="preserve"> Science for Women, </w:t>
                  </w:r>
                  <w:r w:rsidR="004E7FC2" w:rsidRPr="000563D5">
                    <w:rPr>
                      <w:rFonts w:asciiTheme="majorBidi" w:hAnsiTheme="majorBidi" w:cstheme="majorBidi"/>
                      <w:sz w:val="24"/>
                      <w:szCs w:val="24"/>
                    </w:rPr>
                    <w:t xml:space="preserve">University </w:t>
                  </w:r>
                  <w:r w:rsidR="004E7FC2">
                    <w:rPr>
                      <w:rFonts w:asciiTheme="majorBidi" w:hAnsiTheme="majorBidi" w:cstheme="majorBidi"/>
                      <w:sz w:val="24"/>
                      <w:szCs w:val="24"/>
                    </w:rPr>
                    <w:t xml:space="preserve">of </w:t>
                  </w:r>
                  <w:r w:rsidRPr="000563D5">
                    <w:rPr>
                      <w:rFonts w:asciiTheme="majorBidi" w:hAnsiTheme="majorBidi" w:cstheme="majorBidi"/>
                      <w:sz w:val="24"/>
                      <w:szCs w:val="24"/>
                    </w:rPr>
                    <w:t xml:space="preserve">Babylon, </w:t>
                  </w:r>
                  <w:r w:rsidR="006215F0">
                    <w:rPr>
                      <w:rFonts w:asciiTheme="majorBidi" w:hAnsiTheme="majorBidi" w:cstheme="majorBidi"/>
                      <w:sz w:val="24"/>
                      <w:szCs w:val="24"/>
                    </w:rPr>
                    <w:t>Iraq.</w:t>
                  </w:r>
                  <w:r w:rsidRPr="000563D5">
                    <w:rPr>
                      <w:rFonts w:asciiTheme="majorBidi" w:hAnsiTheme="majorBidi" w:cstheme="majorBidi"/>
                      <w:bCs/>
                      <w:sz w:val="24"/>
                      <w:szCs w:val="24"/>
                    </w:rPr>
                    <w:t xml:space="preserve"> </w:t>
                  </w:r>
                  <w:r w:rsidRPr="000563D5">
                    <w:rPr>
                      <w:rStyle w:val="Hyperlink"/>
                      <w:rFonts w:asciiTheme="majorBidi" w:hAnsiTheme="majorBidi" w:cstheme="majorBidi"/>
                      <w:sz w:val="24"/>
                      <w:szCs w:val="24"/>
                    </w:rPr>
                    <w:t>ammar_shalan@yahoo.com.au</w:t>
                  </w:r>
                </w:p>
                <w:p w:rsidR="000563D5" w:rsidRDefault="000563D5" w:rsidP="000563D5"/>
              </w:txbxContent>
            </v:textbox>
          </v:shape>
        </w:pict>
      </w:r>
    </w:p>
    <w:p w:rsidR="000563D5" w:rsidRDefault="000563D5" w:rsidP="00861683">
      <w:pPr>
        <w:spacing w:after="80" w:line="240" w:lineRule="auto"/>
        <w:jc w:val="both"/>
        <w:rPr>
          <w:rFonts w:asciiTheme="majorBidi" w:hAnsiTheme="majorBidi" w:cstheme="majorBidi"/>
          <w:bCs/>
          <w:sz w:val="20"/>
        </w:rPr>
      </w:pPr>
    </w:p>
    <w:p w:rsidR="000563D5" w:rsidRDefault="000563D5" w:rsidP="00861683">
      <w:pPr>
        <w:spacing w:after="80" w:line="240" w:lineRule="auto"/>
        <w:jc w:val="both"/>
        <w:rPr>
          <w:rFonts w:asciiTheme="majorBidi" w:hAnsiTheme="majorBidi" w:cstheme="majorBidi"/>
          <w:bCs/>
          <w:sz w:val="20"/>
        </w:rPr>
      </w:pPr>
    </w:p>
    <w:p w:rsidR="000563D5" w:rsidRDefault="000563D5" w:rsidP="00861683">
      <w:pPr>
        <w:spacing w:after="80" w:line="240" w:lineRule="auto"/>
        <w:jc w:val="both"/>
        <w:rPr>
          <w:rFonts w:asciiTheme="majorBidi" w:hAnsiTheme="majorBidi" w:cstheme="majorBidi"/>
          <w:bCs/>
          <w:sz w:val="20"/>
        </w:rPr>
      </w:pPr>
    </w:p>
    <w:p w:rsidR="000563D5" w:rsidRDefault="000563D5" w:rsidP="00861683">
      <w:pPr>
        <w:spacing w:after="80" w:line="240" w:lineRule="auto"/>
        <w:jc w:val="both"/>
        <w:rPr>
          <w:rFonts w:asciiTheme="majorBidi" w:hAnsiTheme="majorBidi" w:cstheme="majorBidi"/>
          <w:bCs/>
          <w:sz w:val="20"/>
        </w:rPr>
      </w:pPr>
    </w:p>
    <w:p w:rsidR="000563D5" w:rsidRDefault="000563D5" w:rsidP="00861683">
      <w:pPr>
        <w:spacing w:after="80" w:line="240" w:lineRule="auto"/>
        <w:jc w:val="both"/>
        <w:rPr>
          <w:rFonts w:asciiTheme="majorBidi" w:hAnsiTheme="majorBidi" w:cstheme="majorBidi"/>
          <w:bCs/>
          <w:sz w:val="20"/>
        </w:rPr>
      </w:pPr>
    </w:p>
    <w:p w:rsidR="000563D5" w:rsidRPr="00861683" w:rsidRDefault="000563D5" w:rsidP="00861683">
      <w:pPr>
        <w:spacing w:after="80" w:line="240" w:lineRule="auto"/>
        <w:jc w:val="both"/>
        <w:rPr>
          <w:rFonts w:asciiTheme="majorBidi" w:hAnsiTheme="majorBidi" w:cstheme="majorBidi"/>
          <w:bCs/>
          <w:sz w:val="20"/>
        </w:rPr>
      </w:pPr>
    </w:p>
    <w:p w:rsidR="000312AC" w:rsidRPr="00861683" w:rsidRDefault="000312AC" w:rsidP="00861683">
      <w:pPr>
        <w:pStyle w:val="Authors"/>
        <w:framePr w:w="0" w:hSpace="0" w:vSpace="0" w:wrap="auto" w:vAnchor="margin" w:hAnchor="text" w:xAlign="left" w:yAlign="inline"/>
        <w:jc w:val="both"/>
        <w:rPr>
          <w:rFonts w:asciiTheme="majorBidi" w:hAnsiTheme="majorBidi" w:cstheme="majorBidi"/>
          <w:b/>
          <w:lang w:val="fr-FR"/>
        </w:rPr>
      </w:pPr>
    </w:p>
    <w:p w:rsidR="000563D5" w:rsidRDefault="000563D5" w:rsidP="00861683">
      <w:pPr>
        <w:pStyle w:val="Authors"/>
        <w:framePr w:w="0" w:hSpace="0" w:vSpace="0" w:wrap="auto" w:vAnchor="margin" w:hAnchor="text" w:xAlign="left" w:yAlign="inline"/>
        <w:spacing w:after="0"/>
        <w:jc w:val="both"/>
        <w:rPr>
          <w:rFonts w:asciiTheme="majorBidi" w:hAnsiTheme="majorBidi" w:cstheme="majorBidi"/>
          <w:b/>
          <w:sz w:val="24"/>
          <w:szCs w:val="24"/>
          <w:u w:val="single"/>
          <w:lang w:val="fr-FR"/>
        </w:rPr>
      </w:pPr>
    </w:p>
    <w:p w:rsidR="000563D5" w:rsidRDefault="000563D5" w:rsidP="00861683">
      <w:pPr>
        <w:pStyle w:val="Authors"/>
        <w:framePr w:w="0" w:hSpace="0" w:vSpace="0" w:wrap="auto" w:vAnchor="margin" w:hAnchor="text" w:xAlign="left" w:yAlign="inline"/>
        <w:spacing w:after="0"/>
        <w:jc w:val="both"/>
        <w:rPr>
          <w:rFonts w:asciiTheme="majorBidi" w:hAnsiTheme="majorBidi" w:cstheme="majorBidi"/>
          <w:b/>
          <w:sz w:val="24"/>
          <w:szCs w:val="24"/>
          <w:u w:val="single"/>
          <w:lang w:val="fr-FR"/>
        </w:rPr>
      </w:pPr>
    </w:p>
    <w:p w:rsidR="000563D5" w:rsidRDefault="00AF5580" w:rsidP="00861683">
      <w:pPr>
        <w:pStyle w:val="Authors"/>
        <w:framePr w:w="0" w:hSpace="0" w:vSpace="0" w:wrap="auto" w:vAnchor="margin" w:hAnchor="text" w:xAlign="left" w:yAlign="inline"/>
        <w:spacing w:after="0"/>
        <w:jc w:val="both"/>
        <w:rPr>
          <w:rFonts w:asciiTheme="majorBidi" w:hAnsiTheme="majorBidi" w:cstheme="majorBidi"/>
          <w:b/>
          <w:sz w:val="24"/>
          <w:szCs w:val="24"/>
          <w:u w:val="single"/>
          <w:lang w:val="fr-FR"/>
        </w:rPr>
      </w:pPr>
      <w:r>
        <w:rPr>
          <w:rFonts w:asciiTheme="majorBidi" w:hAnsiTheme="majorBidi" w:cstheme="majorBidi"/>
          <w:b/>
          <w:noProof/>
          <w:sz w:val="24"/>
          <w:szCs w:val="24"/>
          <w:u w:val="single"/>
        </w:rPr>
        <w:drawing>
          <wp:anchor distT="0" distB="0" distL="114300" distR="114300" simplePos="0" relativeHeight="251668480" behindDoc="1" locked="0" layoutInCell="1" allowOverlap="1">
            <wp:simplePos x="0" y="0"/>
            <wp:positionH relativeFrom="column">
              <wp:posOffset>1967865</wp:posOffset>
            </wp:positionH>
            <wp:positionV relativeFrom="paragraph">
              <wp:posOffset>93345</wp:posOffset>
            </wp:positionV>
            <wp:extent cx="1391920" cy="1105535"/>
            <wp:effectExtent l="0" t="0" r="0" b="0"/>
            <wp:wrapThrough wrapText="bothSides">
              <wp:wrapPolygon edited="0">
                <wp:start x="0" y="0"/>
                <wp:lineTo x="0" y="21215"/>
                <wp:lineTo x="21285" y="21215"/>
                <wp:lineTo x="21285" y="0"/>
                <wp:lineTo x="0" y="0"/>
              </wp:wrapPolygon>
            </wp:wrapThrough>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1920" cy="1105535"/>
                    </a:xfrm>
                    <a:prstGeom prst="rect">
                      <a:avLst/>
                    </a:prstGeom>
                    <a:noFill/>
                    <a:ln>
                      <a:noFill/>
                    </a:ln>
                  </pic:spPr>
                </pic:pic>
              </a:graphicData>
            </a:graphic>
          </wp:anchor>
        </w:drawing>
      </w:r>
    </w:p>
    <w:p w:rsidR="000563D5" w:rsidRDefault="000563D5" w:rsidP="00861683">
      <w:pPr>
        <w:pStyle w:val="Authors"/>
        <w:framePr w:w="0" w:hSpace="0" w:vSpace="0" w:wrap="auto" w:vAnchor="margin" w:hAnchor="text" w:xAlign="left" w:yAlign="inline"/>
        <w:spacing w:after="0"/>
        <w:jc w:val="both"/>
        <w:rPr>
          <w:rFonts w:asciiTheme="majorBidi" w:hAnsiTheme="majorBidi" w:cstheme="majorBidi"/>
          <w:b/>
          <w:sz w:val="24"/>
          <w:szCs w:val="24"/>
          <w:u w:val="single"/>
          <w:lang w:val="fr-FR"/>
        </w:rPr>
      </w:pPr>
    </w:p>
    <w:p w:rsidR="000563D5" w:rsidRDefault="000563D5" w:rsidP="00861683">
      <w:pPr>
        <w:pStyle w:val="Authors"/>
        <w:framePr w:w="0" w:hSpace="0" w:vSpace="0" w:wrap="auto" w:vAnchor="margin" w:hAnchor="text" w:xAlign="left" w:yAlign="inline"/>
        <w:spacing w:after="0"/>
        <w:jc w:val="both"/>
        <w:rPr>
          <w:rFonts w:asciiTheme="majorBidi" w:hAnsiTheme="majorBidi" w:cstheme="majorBidi"/>
          <w:b/>
          <w:sz w:val="24"/>
          <w:szCs w:val="24"/>
          <w:u w:val="single"/>
          <w:lang w:val="fr-FR"/>
        </w:rPr>
      </w:pPr>
    </w:p>
    <w:p w:rsidR="000563D5" w:rsidRDefault="000563D5" w:rsidP="00861683">
      <w:pPr>
        <w:pStyle w:val="Authors"/>
        <w:framePr w:w="0" w:hSpace="0" w:vSpace="0" w:wrap="auto" w:vAnchor="margin" w:hAnchor="text" w:xAlign="left" w:yAlign="inline"/>
        <w:spacing w:after="0"/>
        <w:jc w:val="both"/>
        <w:rPr>
          <w:rFonts w:asciiTheme="majorBidi" w:hAnsiTheme="majorBidi" w:cstheme="majorBidi"/>
          <w:b/>
          <w:sz w:val="24"/>
          <w:szCs w:val="24"/>
          <w:u w:val="single"/>
          <w:lang w:val="fr-FR"/>
        </w:rPr>
      </w:pPr>
    </w:p>
    <w:p w:rsidR="000563D5" w:rsidRDefault="000563D5" w:rsidP="00861683">
      <w:pPr>
        <w:pStyle w:val="Authors"/>
        <w:framePr w:w="0" w:hSpace="0" w:vSpace="0" w:wrap="auto" w:vAnchor="margin" w:hAnchor="text" w:xAlign="left" w:yAlign="inline"/>
        <w:spacing w:after="0"/>
        <w:jc w:val="both"/>
        <w:rPr>
          <w:rFonts w:asciiTheme="majorBidi" w:hAnsiTheme="majorBidi" w:cstheme="majorBidi"/>
          <w:b/>
          <w:sz w:val="24"/>
          <w:szCs w:val="24"/>
          <w:u w:val="single"/>
          <w:lang w:val="fr-FR"/>
        </w:rPr>
      </w:pPr>
    </w:p>
    <w:p w:rsidR="000563D5" w:rsidRDefault="000563D5" w:rsidP="00861683">
      <w:pPr>
        <w:pStyle w:val="Authors"/>
        <w:framePr w:w="0" w:hSpace="0" w:vSpace="0" w:wrap="auto" w:vAnchor="margin" w:hAnchor="text" w:xAlign="left" w:yAlign="inline"/>
        <w:spacing w:after="0"/>
        <w:jc w:val="both"/>
        <w:rPr>
          <w:rFonts w:asciiTheme="majorBidi" w:hAnsiTheme="majorBidi" w:cstheme="majorBidi"/>
          <w:b/>
          <w:sz w:val="24"/>
          <w:szCs w:val="24"/>
          <w:u w:val="single"/>
          <w:lang w:val="fr-FR"/>
        </w:rPr>
      </w:pPr>
    </w:p>
    <w:p w:rsidR="000563D5" w:rsidRDefault="000563D5" w:rsidP="00861683">
      <w:pPr>
        <w:pStyle w:val="Authors"/>
        <w:framePr w:w="0" w:hSpace="0" w:vSpace="0" w:wrap="auto" w:vAnchor="margin" w:hAnchor="text" w:xAlign="left" w:yAlign="inline"/>
        <w:spacing w:after="0"/>
        <w:jc w:val="both"/>
        <w:rPr>
          <w:rFonts w:asciiTheme="majorBidi" w:hAnsiTheme="majorBidi" w:cstheme="majorBidi"/>
          <w:b/>
          <w:sz w:val="24"/>
          <w:szCs w:val="24"/>
          <w:u w:val="single"/>
          <w:lang w:val="fr-FR"/>
        </w:rPr>
      </w:pPr>
    </w:p>
    <w:p w:rsidR="00AF5580" w:rsidRPr="00C2686B" w:rsidRDefault="00AF5580" w:rsidP="00AF5580">
      <w:pPr>
        <w:spacing w:after="0" w:line="240" w:lineRule="auto"/>
        <w:jc w:val="center"/>
        <w:rPr>
          <w:rFonts w:ascii="Times New Roman" w:hAnsi="Times New Roman"/>
          <w:sz w:val="20"/>
          <w:szCs w:val="20"/>
          <w:u w:val="single"/>
          <w:lang w:bidi="ar-IQ"/>
        </w:rPr>
      </w:pPr>
      <w:r w:rsidRPr="00C2686B">
        <w:rPr>
          <w:rFonts w:ascii="Times New Roman" w:hAnsi="Times New Roman"/>
          <w:b/>
          <w:bCs/>
          <w:sz w:val="24"/>
          <w:szCs w:val="24"/>
          <w:u w:val="single"/>
        </w:rPr>
        <w:t xml:space="preserve">Received  </w:t>
      </w:r>
      <w:r w:rsidR="0081073D">
        <w:rPr>
          <w:rFonts w:ascii="Times New Roman" w:hAnsi="Times New Roman"/>
          <w:b/>
          <w:bCs/>
          <w:sz w:val="24"/>
          <w:szCs w:val="24"/>
          <w:u w:val="single"/>
        </w:rPr>
        <w:t xml:space="preserve">31 </w:t>
      </w:r>
      <w:r w:rsidRPr="00C2686B">
        <w:rPr>
          <w:rFonts w:ascii="Times New Roman" w:hAnsi="Times New Roman"/>
          <w:b/>
          <w:bCs/>
          <w:sz w:val="24"/>
          <w:szCs w:val="24"/>
          <w:u w:val="single"/>
        </w:rPr>
        <w:t>July</w:t>
      </w:r>
      <w:r w:rsidR="0081073D">
        <w:rPr>
          <w:rFonts w:ascii="Times New Roman" w:hAnsi="Times New Roman"/>
          <w:b/>
          <w:bCs/>
          <w:sz w:val="24"/>
          <w:szCs w:val="24"/>
          <w:u w:val="single"/>
        </w:rPr>
        <w:t xml:space="preserve"> 2013</w:t>
      </w:r>
      <w:r w:rsidRPr="00C2686B">
        <w:rPr>
          <w:rFonts w:ascii="Times New Roman" w:hAnsi="Times New Roman"/>
          <w:sz w:val="24"/>
          <w:szCs w:val="24"/>
        </w:rPr>
        <w:t xml:space="preserve"> </w:t>
      </w:r>
      <w:r w:rsidRPr="00C2686B">
        <w:rPr>
          <w:rFonts w:ascii="Times New Roman" w:hAnsi="Times New Roman"/>
          <w:b/>
          <w:bCs/>
          <w:sz w:val="24"/>
          <w:szCs w:val="24"/>
        </w:rPr>
        <w:t xml:space="preserve">    </w:t>
      </w:r>
      <w:r w:rsidRPr="00C2686B">
        <w:rPr>
          <w:rFonts w:ascii="Times New Roman" w:hAnsi="Times New Roman"/>
          <w:sz w:val="24"/>
          <w:szCs w:val="24"/>
          <w:lang w:bidi="ar-IQ"/>
        </w:rPr>
        <w:t xml:space="preserve"> </w:t>
      </w:r>
      <w:r w:rsidR="0081073D">
        <w:rPr>
          <w:rFonts w:ascii="Times New Roman" w:hAnsi="Times New Roman"/>
          <w:sz w:val="24"/>
          <w:szCs w:val="24"/>
          <w:lang w:bidi="ar-IQ"/>
        </w:rPr>
        <w:t xml:space="preserve">      </w:t>
      </w:r>
      <w:r w:rsidRPr="00C2686B">
        <w:rPr>
          <w:rFonts w:ascii="Times New Roman" w:hAnsi="Times New Roman"/>
          <w:sz w:val="24"/>
          <w:szCs w:val="24"/>
          <w:lang w:bidi="ar-IQ"/>
        </w:rPr>
        <w:t xml:space="preserve">         </w:t>
      </w:r>
      <w:r w:rsidRPr="00C2686B">
        <w:rPr>
          <w:rFonts w:ascii="Times New Roman" w:hAnsi="Times New Roman"/>
          <w:b/>
          <w:bCs/>
          <w:sz w:val="24"/>
          <w:szCs w:val="24"/>
          <w:u w:val="single"/>
        </w:rPr>
        <w:t xml:space="preserve">Accepted  </w:t>
      </w:r>
      <w:r w:rsidR="0081073D">
        <w:rPr>
          <w:rFonts w:ascii="Times New Roman" w:hAnsi="Times New Roman"/>
          <w:b/>
          <w:bCs/>
          <w:sz w:val="24"/>
          <w:szCs w:val="24"/>
          <w:u w:val="single"/>
        </w:rPr>
        <w:t xml:space="preserve">27 </w:t>
      </w:r>
      <w:r w:rsidRPr="00C2686B">
        <w:rPr>
          <w:rFonts w:ascii="Times New Roman" w:hAnsi="Times New Roman"/>
          <w:b/>
          <w:bCs/>
          <w:sz w:val="24"/>
          <w:szCs w:val="24"/>
          <w:u w:val="single"/>
        </w:rPr>
        <w:t>October</w:t>
      </w:r>
      <w:r w:rsidR="0081073D">
        <w:rPr>
          <w:rFonts w:ascii="Times New Roman" w:hAnsi="Times New Roman"/>
          <w:b/>
          <w:bCs/>
          <w:sz w:val="24"/>
          <w:szCs w:val="24"/>
          <w:u w:val="single"/>
        </w:rPr>
        <w:t xml:space="preserve"> 2013</w:t>
      </w:r>
    </w:p>
    <w:p w:rsidR="00861683" w:rsidRPr="00861683" w:rsidRDefault="00861683" w:rsidP="00861683">
      <w:pPr>
        <w:pStyle w:val="Authors"/>
        <w:framePr w:w="0" w:hSpace="0" w:vSpace="0" w:wrap="auto" w:vAnchor="margin" w:hAnchor="text" w:xAlign="left" w:yAlign="inline"/>
        <w:spacing w:after="0"/>
        <w:jc w:val="both"/>
        <w:rPr>
          <w:rFonts w:asciiTheme="majorBidi" w:hAnsiTheme="majorBidi" w:cstheme="majorBidi"/>
          <w:u w:val="single"/>
        </w:rPr>
      </w:pPr>
      <w:r w:rsidRPr="00861683">
        <w:rPr>
          <w:rFonts w:asciiTheme="majorBidi" w:hAnsiTheme="majorBidi" w:cstheme="majorBidi"/>
          <w:b/>
          <w:sz w:val="24"/>
          <w:szCs w:val="24"/>
          <w:u w:val="single"/>
          <w:lang w:val="fr-FR"/>
        </w:rPr>
        <w:t xml:space="preserve">Abstract </w:t>
      </w:r>
    </w:p>
    <w:p w:rsidR="000312AC" w:rsidRPr="00861683" w:rsidRDefault="000312AC" w:rsidP="002E70E8">
      <w:pPr>
        <w:pStyle w:val="Authors"/>
        <w:framePr w:w="0" w:hSpace="0" w:vSpace="0" w:wrap="auto" w:vAnchor="margin" w:hAnchor="text" w:xAlign="left" w:yAlign="inline"/>
        <w:spacing w:after="0"/>
        <w:ind w:firstLine="720"/>
        <w:jc w:val="both"/>
        <w:rPr>
          <w:rFonts w:asciiTheme="majorBidi" w:hAnsiTheme="majorBidi" w:cstheme="majorBidi"/>
          <w:b/>
          <w:sz w:val="24"/>
          <w:szCs w:val="24"/>
          <w:lang w:val="fr-FR"/>
        </w:rPr>
      </w:pPr>
      <w:r w:rsidRPr="00861683">
        <w:rPr>
          <w:rFonts w:asciiTheme="majorBidi" w:hAnsiTheme="majorBidi" w:cstheme="majorBidi"/>
          <w:sz w:val="20"/>
          <w:szCs w:val="20"/>
        </w:rPr>
        <w:t xml:space="preserve">This study is a diagnostic evaluation study to real time PCR and </w:t>
      </w:r>
      <w:proofErr w:type="spellStart"/>
      <w:r w:rsidRPr="00861683">
        <w:rPr>
          <w:rFonts w:asciiTheme="majorBidi" w:hAnsiTheme="majorBidi" w:cstheme="majorBidi"/>
          <w:sz w:val="20"/>
          <w:szCs w:val="20"/>
        </w:rPr>
        <w:t>Immunochromatography</w:t>
      </w:r>
      <w:proofErr w:type="spellEnd"/>
      <w:r w:rsidRPr="00861683">
        <w:rPr>
          <w:rFonts w:asciiTheme="majorBidi" w:hAnsiTheme="majorBidi" w:cstheme="majorBidi"/>
          <w:sz w:val="20"/>
          <w:szCs w:val="20"/>
        </w:rPr>
        <w:t xml:space="preserve"> compared to conventional microbiological techniques (represented by Acid fast smear and culture) in laboratory diagnosis of tuberculosis. Whole blood and sputum samples were collected from 136 tuberculosis patients, 124 of them were pulmonary tuberculosis and 12 of them were </w:t>
      </w:r>
      <w:proofErr w:type="spellStart"/>
      <w:r w:rsidRPr="00861683">
        <w:rPr>
          <w:rFonts w:asciiTheme="majorBidi" w:hAnsiTheme="majorBidi" w:cstheme="majorBidi"/>
          <w:sz w:val="20"/>
          <w:szCs w:val="20"/>
        </w:rPr>
        <w:t>extrapolmonary</w:t>
      </w:r>
      <w:proofErr w:type="spellEnd"/>
      <w:r w:rsidRPr="00861683">
        <w:rPr>
          <w:rFonts w:asciiTheme="majorBidi" w:hAnsiTheme="majorBidi" w:cstheme="majorBidi"/>
          <w:sz w:val="20"/>
          <w:szCs w:val="20"/>
        </w:rPr>
        <w:t xml:space="preserve"> tuberculosis in addition to 102 healthy control subjects at consultant clinic for respiratory diseases in </w:t>
      </w:r>
      <w:proofErr w:type="spellStart"/>
      <w:r w:rsidRPr="00861683">
        <w:rPr>
          <w:rFonts w:asciiTheme="majorBidi" w:hAnsiTheme="majorBidi" w:cstheme="majorBidi"/>
          <w:sz w:val="20"/>
          <w:szCs w:val="20"/>
        </w:rPr>
        <w:t>Hilla</w:t>
      </w:r>
      <w:proofErr w:type="spellEnd"/>
      <w:r w:rsidRPr="00861683">
        <w:rPr>
          <w:rFonts w:asciiTheme="majorBidi" w:hAnsiTheme="majorBidi" w:cstheme="majorBidi"/>
          <w:sz w:val="20"/>
          <w:szCs w:val="20"/>
        </w:rPr>
        <w:t xml:space="preserve"> – </w:t>
      </w:r>
      <w:proofErr w:type="spellStart"/>
      <w:r w:rsidRPr="00861683">
        <w:rPr>
          <w:rFonts w:asciiTheme="majorBidi" w:hAnsiTheme="majorBidi" w:cstheme="majorBidi"/>
          <w:sz w:val="20"/>
          <w:szCs w:val="20"/>
        </w:rPr>
        <w:t>Babil</w:t>
      </w:r>
      <w:proofErr w:type="spellEnd"/>
      <w:r w:rsidRPr="00861683">
        <w:rPr>
          <w:rFonts w:asciiTheme="majorBidi" w:hAnsiTheme="majorBidi" w:cstheme="majorBidi"/>
          <w:sz w:val="20"/>
          <w:szCs w:val="20"/>
        </w:rPr>
        <w:t xml:space="preserve"> province-Iraq, during the  period from May 2010 to June 2011. Real-time PCR kits, </w:t>
      </w:r>
      <w:proofErr w:type="spellStart"/>
      <w:r w:rsidRPr="00861683">
        <w:rPr>
          <w:rFonts w:asciiTheme="majorBidi" w:hAnsiTheme="majorBidi" w:cstheme="majorBidi"/>
          <w:sz w:val="20"/>
          <w:szCs w:val="20"/>
        </w:rPr>
        <w:t>Immunochromatography</w:t>
      </w:r>
      <w:proofErr w:type="spellEnd"/>
      <w:r w:rsidRPr="00861683">
        <w:rPr>
          <w:rFonts w:asciiTheme="majorBidi" w:hAnsiTheme="majorBidi" w:cstheme="majorBidi"/>
          <w:sz w:val="20"/>
          <w:szCs w:val="20"/>
        </w:rPr>
        <w:t xml:space="preserve"> rapid test in addition to acid fast smear and Lowenstein-Jensen culture were used to diagnose the tuberculosis cases.  </w:t>
      </w:r>
      <w:r w:rsidR="00E4260C" w:rsidRPr="00861683">
        <w:rPr>
          <w:rFonts w:asciiTheme="majorBidi" w:hAnsiTheme="majorBidi" w:cstheme="majorBidi"/>
          <w:sz w:val="20"/>
          <w:szCs w:val="20"/>
        </w:rPr>
        <w:t xml:space="preserve">The results show that the </w:t>
      </w:r>
      <w:r w:rsidRPr="00861683">
        <w:rPr>
          <w:rFonts w:asciiTheme="majorBidi" w:hAnsiTheme="majorBidi" w:cstheme="majorBidi"/>
          <w:sz w:val="20"/>
          <w:szCs w:val="20"/>
        </w:rPr>
        <w:t xml:space="preserve"> sensitivities of the AFB smear, culture, RT-PCR and ICG were 74%, 43% 88% and 24%, respectively. The sensitivity of 99% was obtained by using RT-PCR and/or AFB smear as a diagnostic criteria. The specificity of AFB smear, culture, RT-PCR was 100%, while the specificity of ICG was 98%. The using of both AFB smear and RT-PCR as diagnostic tests raised the sensitivity to 99% compared with the using of the </w:t>
      </w:r>
      <w:r w:rsidRPr="00861683">
        <w:rPr>
          <w:rFonts w:asciiTheme="majorBidi" w:hAnsiTheme="majorBidi" w:cstheme="majorBidi"/>
          <w:sz w:val="24"/>
          <w:szCs w:val="24"/>
        </w:rPr>
        <w:t>AFB smear, culture and ICG as a single test.</w:t>
      </w:r>
    </w:p>
    <w:p w:rsidR="000312AC" w:rsidRPr="00861683" w:rsidRDefault="000312AC" w:rsidP="00861683">
      <w:pPr>
        <w:spacing w:after="0" w:line="240" w:lineRule="auto"/>
        <w:jc w:val="both"/>
        <w:rPr>
          <w:rFonts w:asciiTheme="majorBidi" w:hAnsiTheme="majorBidi" w:cstheme="majorBidi"/>
          <w:sz w:val="24"/>
          <w:szCs w:val="24"/>
          <w:lang w:val="fr-FR"/>
        </w:rPr>
      </w:pPr>
      <w:r w:rsidRPr="00861683">
        <w:rPr>
          <w:rFonts w:asciiTheme="majorBidi" w:hAnsiTheme="majorBidi" w:cstheme="majorBidi"/>
          <w:b/>
          <w:bCs/>
          <w:sz w:val="24"/>
          <w:szCs w:val="24"/>
        </w:rPr>
        <w:t>Keywords</w:t>
      </w:r>
      <w:r w:rsidR="00861683">
        <w:rPr>
          <w:rFonts w:asciiTheme="majorBidi" w:hAnsiTheme="majorBidi" w:cstheme="majorBidi"/>
          <w:b/>
          <w:sz w:val="24"/>
          <w:szCs w:val="24"/>
        </w:rPr>
        <w:t xml:space="preserve">: </w:t>
      </w:r>
      <w:proofErr w:type="spellStart"/>
      <w:r w:rsidRPr="00861683">
        <w:rPr>
          <w:rFonts w:asciiTheme="majorBidi" w:hAnsiTheme="majorBidi" w:cstheme="majorBidi"/>
          <w:sz w:val="24"/>
          <w:szCs w:val="24"/>
        </w:rPr>
        <w:t>Immunochromoatography</w:t>
      </w:r>
      <w:proofErr w:type="spellEnd"/>
      <w:r w:rsidRPr="00861683">
        <w:rPr>
          <w:rFonts w:asciiTheme="majorBidi" w:hAnsiTheme="majorBidi" w:cstheme="majorBidi"/>
          <w:b/>
          <w:sz w:val="24"/>
          <w:szCs w:val="24"/>
        </w:rPr>
        <w:t xml:space="preserve">, </w:t>
      </w:r>
      <w:r w:rsidR="0081073D">
        <w:rPr>
          <w:rFonts w:asciiTheme="majorBidi" w:hAnsiTheme="majorBidi" w:cstheme="majorBidi"/>
          <w:sz w:val="24"/>
          <w:szCs w:val="24"/>
        </w:rPr>
        <w:t>laboratory diagnosis</w:t>
      </w:r>
      <w:r w:rsidRPr="00861683">
        <w:rPr>
          <w:rFonts w:asciiTheme="majorBidi" w:hAnsiTheme="majorBidi" w:cstheme="majorBidi"/>
          <w:sz w:val="24"/>
          <w:szCs w:val="24"/>
        </w:rPr>
        <w:t>,</w:t>
      </w:r>
      <w:r w:rsidR="0081073D">
        <w:rPr>
          <w:rFonts w:asciiTheme="majorBidi" w:hAnsiTheme="majorBidi" w:cstheme="majorBidi"/>
          <w:sz w:val="24"/>
          <w:szCs w:val="24"/>
        </w:rPr>
        <w:t xml:space="preserve"> </w:t>
      </w:r>
      <w:r w:rsidRPr="00861683">
        <w:rPr>
          <w:rFonts w:asciiTheme="majorBidi" w:hAnsiTheme="majorBidi" w:cstheme="majorBidi"/>
          <w:sz w:val="24"/>
          <w:szCs w:val="24"/>
        </w:rPr>
        <w:t>Real time PCR, tuberculosis</w:t>
      </w:r>
      <w:r w:rsidRPr="00861683">
        <w:rPr>
          <w:rFonts w:asciiTheme="majorBidi" w:hAnsiTheme="majorBidi" w:cstheme="majorBidi"/>
          <w:sz w:val="24"/>
          <w:szCs w:val="24"/>
          <w:lang w:val="fr-FR"/>
        </w:rPr>
        <w:t>.</w:t>
      </w:r>
    </w:p>
    <w:p w:rsidR="00726740" w:rsidRPr="006215F0" w:rsidRDefault="00726740" w:rsidP="00417663">
      <w:pPr>
        <w:bidi/>
        <w:spacing w:after="0" w:line="240" w:lineRule="auto"/>
        <w:jc w:val="center"/>
        <w:rPr>
          <w:rFonts w:ascii="Times New Roman" w:hAnsi="Times New Roman" w:cs="Simplified Arabic"/>
          <w:b/>
          <w:bCs/>
          <w:sz w:val="20"/>
          <w:szCs w:val="20"/>
          <w:rtl/>
          <w:lang w:bidi="ar-IQ"/>
        </w:rPr>
      </w:pPr>
      <w:r w:rsidRPr="006215F0">
        <w:rPr>
          <w:rFonts w:ascii="Times New Roman" w:hAnsi="Times New Roman" w:cs="Simplified Arabic"/>
          <w:b/>
          <w:bCs/>
          <w:sz w:val="28"/>
          <w:szCs w:val="28"/>
          <w:rtl/>
          <w:lang w:bidi="ar-IQ"/>
        </w:rPr>
        <w:t xml:space="preserve">تقييم تقنيات </w:t>
      </w:r>
      <w:r w:rsidR="00861683" w:rsidRPr="006215F0">
        <w:rPr>
          <w:rFonts w:ascii="Times New Roman" w:hAnsi="Times New Roman" w:cs="Simplified Arabic"/>
          <w:b/>
          <w:bCs/>
          <w:sz w:val="28"/>
          <w:szCs w:val="28"/>
        </w:rPr>
        <w:t>R</w:t>
      </w:r>
      <w:r w:rsidRPr="006215F0">
        <w:rPr>
          <w:rFonts w:ascii="Times New Roman" w:hAnsi="Times New Roman" w:cs="Simplified Arabic"/>
          <w:b/>
          <w:bCs/>
          <w:sz w:val="28"/>
          <w:szCs w:val="28"/>
        </w:rPr>
        <w:t xml:space="preserve">eal </w:t>
      </w:r>
      <w:r w:rsidR="00861683" w:rsidRPr="006215F0">
        <w:rPr>
          <w:rFonts w:ascii="Times New Roman" w:hAnsi="Times New Roman" w:cs="Simplified Arabic"/>
          <w:b/>
          <w:bCs/>
          <w:sz w:val="28"/>
          <w:szCs w:val="28"/>
        </w:rPr>
        <w:t>T</w:t>
      </w:r>
      <w:r w:rsidRPr="006215F0">
        <w:rPr>
          <w:rFonts w:ascii="Times New Roman" w:hAnsi="Times New Roman" w:cs="Simplified Arabic"/>
          <w:b/>
          <w:bCs/>
          <w:sz w:val="28"/>
          <w:szCs w:val="28"/>
        </w:rPr>
        <w:t>ime PCR</w:t>
      </w:r>
      <w:r w:rsidR="008772D0">
        <w:rPr>
          <w:rFonts w:ascii="Times New Roman" w:hAnsi="Times New Roman" w:cs="Simplified Arabic"/>
          <w:b/>
          <w:bCs/>
          <w:sz w:val="28"/>
          <w:szCs w:val="28"/>
          <w:rtl/>
          <w:lang w:bidi="ar-IQ"/>
        </w:rPr>
        <w:t xml:space="preserve"> و </w:t>
      </w:r>
      <w:proofErr w:type="spellStart"/>
      <w:r w:rsidR="008772D0">
        <w:rPr>
          <w:rFonts w:ascii="Times New Roman" w:hAnsi="Times New Roman" w:cs="Simplified Arabic"/>
          <w:b/>
          <w:bCs/>
          <w:sz w:val="28"/>
          <w:szCs w:val="28"/>
          <w:rtl/>
          <w:lang w:bidi="ar-IQ"/>
        </w:rPr>
        <w:t>الكروماتو</w:t>
      </w:r>
      <w:r w:rsidR="00417663">
        <w:rPr>
          <w:rFonts w:ascii="Times New Roman" w:hAnsi="Times New Roman" w:cs="Simplified Arabic" w:hint="cs"/>
          <w:b/>
          <w:bCs/>
          <w:sz w:val="28"/>
          <w:szCs w:val="28"/>
          <w:rtl/>
          <w:lang w:bidi="ar-IQ"/>
        </w:rPr>
        <w:t>ك</w:t>
      </w:r>
      <w:r w:rsidRPr="006215F0">
        <w:rPr>
          <w:rFonts w:ascii="Times New Roman" w:hAnsi="Times New Roman" w:cs="Simplified Arabic"/>
          <w:b/>
          <w:bCs/>
          <w:sz w:val="28"/>
          <w:szCs w:val="28"/>
          <w:rtl/>
          <w:lang w:bidi="ar-IQ"/>
        </w:rPr>
        <w:t>رافيا</w:t>
      </w:r>
      <w:proofErr w:type="spellEnd"/>
      <w:r w:rsidRPr="006215F0">
        <w:rPr>
          <w:rFonts w:ascii="Times New Roman" w:hAnsi="Times New Roman" w:cs="Simplified Arabic"/>
          <w:b/>
          <w:bCs/>
          <w:sz w:val="28"/>
          <w:szCs w:val="28"/>
          <w:rtl/>
          <w:lang w:bidi="ar-IQ"/>
        </w:rPr>
        <w:t xml:space="preserve"> المناعية في التشخيص المختبري للتدرن</w:t>
      </w:r>
    </w:p>
    <w:p w:rsidR="00C476FA" w:rsidRPr="00861683" w:rsidRDefault="00C476FA" w:rsidP="00861683">
      <w:pPr>
        <w:bidi/>
        <w:spacing w:after="0" w:line="240" w:lineRule="auto"/>
        <w:rPr>
          <w:rFonts w:ascii="Times New Roman" w:hAnsi="Times New Roman" w:cs="Simplified Arabic"/>
          <w:b/>
          <w:bCs/>
          <w:sz w:val="24"/>
          <w:szCs w:val="24"/>
          <w:u w:val="single"/>
          <w:rtl/>
          <w:lang w:bidi="ar-IQ"/>
        </w:rPr>
      </w:pPr>
      <w:r w:rsidRPr="00861683">
        <w:rPr>
          <w:rFonts w:ascii="Times New Roman" w:hAnsi="Times New Roman" w:cs="Simplified Arabic"/>
          <w:b/>
          <w:bCs/>
          <w:sz w:val="24"/>
          <w:szCs w:val="24"/>
          <w:u w:val="single"/>
          <w:rtl/>
          <w:lang w:bidi="ar-IQ"/>
        </w:rPr>
        <w:t>الخلاصة</w:t>
      </w:r>
    </w:p>
    <w:p w:rsidR="004D400B" w:rsidRPr="00861683" w:rsidRDefault="00C476FA" w:rsidP="00010023">
      <w:pPr>
        <w:bidi/>
        <w:spacing w:after="0" w:line="240" w:lineRule="auto"/>
        <w:jc w:val="both"/>
        <w:rPr>
          <w:rFonts w:ascii="Times New Roman" w:hAnsi="Times New Roman" w:cs="Simplified Arabic"/>
          <w:sz w:val="20"/>
          <w:szCs w:val="20"/>
          <w:rtl/>
          <w:lang w:bidi="ar-IQ"/>
        </w:rPr>
      </w:pPr>
      <w:r w:rsidRPr="00861683">
        <w:rPr>
          <w:rFonts w:ascii="Times New Roman" w:hAnsi="Times New Roman" w:cs="Simplified Arabic"/>
          <w:sz w:val="20"/>
          <w:szCs w:val="20"/>
          <w:rtl/>
          <w:lang w:bidi="ar-IQ"/>
        </w:rPr>
        <w:tab/>
        <w:t>هذه الدراسة هي دراسة تقييم</w:t>
      </w:r>
      <w:r w:rsidR="009E3D37" w:rsidRPr="00861683">
        <w:rPr>
          <w:rFonts w:ascii="Times New Roman" w:hAnsi="Times New Roman" w:cs="Simplified Arabic"/>
          <w:sz w:val="20"/>
          <w:szCs w:val="20"/>
          <w:rtl/>
          <w:lang w:bidi="ar-IQ"/>
        </w:rPr>
        <w:t xml:space="preserve"> تشخيصي ل</w:t>
      </w:r>
      <w:r w:rsidRPr="00861683">
        <w:rPr>
          <w:rFonts w:ascii="Times New Roman" w:hAnsi="Times New Roman" w:cs="Simplified Arabic"/>
          <w:sz w:val="20"/>
          <w:szCs w:val="20"/>
          <w:rtl/>
          <w:lang w:bidi="ar-IQ"/>
        </w:rPr>
        <w:t>طرق (</w:t>
      </w:r>
      <w:r w:rsidR="00010023">
        <w:rPr>
          <w:rFonts w:ascii="Times New Roman" w:hAnsi="Times New Roman" w:cs="Simplified Arabic"/>
          <w:sz w:val="20"/>
          <w:szCs w:val="20"/>
          <w:lang w:bidi="ar-IQ"/>
        </w:rPr>
        <w:t>Real time PCR</w:t>
      </w:r>
      <w:r w:rsidRPr="00861683">
        <w:rPr>
          <w:rFonts w:ascii="Times New Roman" w:hAnsi="Times New Roman" w:cs="Simplified Arabic"/>
          <w:sz w:val="20"/>
          <w:szCs w:val="20"/>
          <w:rtl/>
          <w:lang w:bidi="ar-IQ"/>
        </w:rPr>
        <w:t xml:space="preserve">) و </w:t>
      </w:r>
      <w:proofErr w:type="spellStart"/>
      <w:r w:rsidRPr="00861683">
        <w:rPr>
          <w:rFonts w:ascii="Times New Roman" w:hAnsi="Times New Roman" w:cs="Simplified Arabic"/>
          <w:sz w:val="20"/>
          <w:szCs w:val="20"/>
          <w:rtl/>
          <w:lang w:bidi="ar-IQ"/>
        </w:rPr>
        <w:t>الكروماتوكرافيا</w:t>
      </w:r>
      <w:proofErr w:type="spellEnd"/>
      <w:r w:rsidRPr="00861683">
        <w:rPr>
          <w:rFonts w:ascii="Times New Roman" w:hAnsi="Times New Roman" w:cs="Simplified Arabic"/>
          <w:sz w:val="20"/>
          <w:szCs w:val="20"/>
          <w:rtl/>
          <w:lang w:bidi="ar-IQ"/>
        </w:rPr>
        <w:t xml:space="preserve"> المناعية (</w:t>
      </w:r>
      <w:proofErr w:type="spellStart"/>
      <w:r w:rsidRPr="00861683">
        <w:rPr>
          <w:rFonts w:ascii="Times New Roman" w:hAnsi="Times New Roman" w:cs="Simplified Arabic"/>
          <w:sz w:val="20"/>
          <w:szCs w:val="20"/>
          <w:lang w:bidi="ar-IQ"/>
        </w:rPr>
        <w:t>Immunochromatography</w:t>
      </w:r>
      <w:proofErr w:type="spellEnd"/>
      <w:r w:rsidRPr="00861683">
        <w:rPr>
          <w:rFonts w:ascii="Times New Roman" w:hAnsi="Times New Roman" w:cs="Simplified Arabic"/>
          <w:sz w:val="20"/>
          <w:szCs w:val="20"/>
          <w:rtl/>
          <w:lang w:bidi="ar-IQ"/>
        </w:rPr>
        <w:t xml:space="preserve">) مقارنة بالتقنيات المجهرية التقليدية المتمثلة بالصبغة الصامدة للحامض و الزرع  في التشخيص المختبري للتدرن. تم خلال الدراسة جمع عينات الدم والبلغم من 136 حالة تدرن 124 حالة تدرن رئوي و 12 حالة تدرن خارج الرئة </w:t>
      </w:r>
      <w:proofErr w:type="spellStart"/>
      <w:r w:rsidRPr="00861683">
        <w:rPr>
          <w:rFonts w:ascii="Times New Roman" w:hAnsi="Times New Roman" w:cs="Simplified Arabic"/>
          <w:sz w:val="20"/>
          <w:szCs w:val="20"/>
          <w:rtl/>
          <w:lang w:bidi="ar-IQ"/>
        </w:rPr>
        <w:t>بالاضافة</w:t>
      </w:r>
      <w:proofErr w:type="spellEnd"/>
      <w:r w:rsidRPr="00861683">
        <w:rPr>
          <w:rFonts w:ascii="Times New Roman" w:hAnsi="Times New Roman" w:cs="Simplified Arabic"/>
          <w:sz w:val="20"/>
          <w:szCs w:val="20"/>
          <w:rtl/>
          <w:lang w:bidi="ar-IQ"/>
        </w:rPr>
        <w:t xml:space="preserve"> 102 شخص من الملامسين كمجموعة سيطرة، وذلك في العيادة الاستشارية </w:t>
      </w:r>
      <w:proofErr w:type="spellStart"/>
      <w:r w:rsidRPr="00861683">
        <w:rPr>
          <w:rFonts w:ascii="Times New Roman" w:hAnsi="Times New Roman" w:cs="Simplified Arabic"/>
          <w:sz w:val="20"/>
          <w:szCs w:val="20"/>
          <w:rtl/>
          <w:lang w:bidi="ar-IQ"/>
        </w:rPr>
        <w:t>للامراض</w:t>
      </w:r>
      <w:proofErr w:type="spellEnd"/>
      <w:r w:rsidRPr="00861683">
        <w:rPr>
          <w:rFonts w:ascii="Times New Roman" w:hAnsi="Times New Roman" w:cs="Simplified Arabic"/>
          <w:sz w:val="20"/>
          <w:szCs w:val="20"/>
          <w:rtl/>
          <w:lang w:bidi="ar-IQ"/>
        </w:rPr>
        <w:t xml:space="preserve"> الصدرية في الحلة - محافظة بابل خلال الفترة ما بين شهر ايار 2010 الى حزيران 2011. تم استخدام التقنيات التشخيصية </w:t>
      </w:r>
      <w:proofErr w:type="spellStart"/>
      <w:r w:rsidRPr="00861683">
        <w:rPr>
          <w:rFonts w:ascii="Times New Roman" w:hAnsi="Times New Roman" w:cs="Simplified Arabic"/>
          <w:sz w:val="20"/>
          <w:szCs w:val="20"/>
          <w:rtl/>
          <w:lang w:bidi="ar-IQ"/>
        </w:rPr>
        <w:t>للـ</w:t>
      </w:r>
      <w:proofErr w:type="spellEnd"/>
      <w:r w:rsidRPr="00861683">
        <w:rPr>
          <w:rFonts w:ascii="Times New Roman" w:hAnsi="Times New Roman" w:cs="Simplified Arabic"/>
          <w:sz w:val="20"/>
          <w:szCs w:val="20"/>
          <w:rtl/>
          <w:lang w:bidi="ar-IQ"/>
        </w:rPr>
        <w:t xml:space="preserve"> (</w:t>
      </w:r>
      <w:r w:rsidRPr="00861683">
        <w:rPr>
          <w:rFonts w:ascii="Times New Roman" w:hAnsi="Times New Roman" w:cs="Simplified Arabic"/>
          <w:sz w:val="20"/>
          <w:szCs w:val="20"/>
          <w:lang w:bidi="ar-IQ"/>
        </w:rPr>
        <w:t>Real time PCR</w:t>
      </w:r>
      <w:r w:rsidRPr="00861683">
        <w:rPr>
          <w:rFonts w:ascii="Times New Roman" w:hAnsi="Times New Roman" w:cs="Simplified Arabic"/>
          <w:sz w:val="20"/>
          <w:szCs w:val="20"/>
          <w:rtl/>
          <w:lang w:bidi="ar-IQ"/>
        </w:rPr>
        <w:t xml:space="preserve"> ) و (</w:t>
      </w:r>
      <w:proofErr w:type="spellStart"/>
      <w:r w:rsidRPr="00861683">
        <w:rPr>
          <w:rFonts w:ascii="Times New Roman" w:hAnsi="Times New Roman" w:cs="Simplified Arabic"/>
          <w:sz w:val="20"/>
          <w:szCs w:val="20"/>
          <w:lang w:bidi="ar-IQ"/>
        </w:rPr>
        <w:t>Immunochromatography</w:t>
      </w:r>
      <w:proofErr w:type="spellEnd"/>
      <w:r w:rsidRPr="00861683">
        <w:rPr>
          <w:rFonts w:ascii="Times New Roman" w:hAnsi="Times New Roman" w:cs="Simplified Arabic"/>
          <w:sz w:val="20"/>
          <w:szCs w:val="20"/>
          <w:rtl/>
          <w:lang w:bidi="ar-IQ"/>
        </w:rPr>
        <w:t xml:space="preserve">) </w:t>
      </w:r>
      <w:proofErr w:type="spellStart"/>
      <w:r w:rsidRPr="00861683">
        <w:rPr>
          <w:rFonts w:ascii="Times New Roman" w:hAnsi="Times New Roman" w:cs="Simplified Arabic"/>
          <w:sz w:val="20"/>
          <w:szCs w:val="20"/>
          <w:rtl/>
          <w:lang w:bidi="ar-IQ"/>
        </w:rPr>
        <w:t>بالاضافة</w:t>
      </w:r>
      <w:proofErr w:type="spellEnd"/>
      <w:r w:rsidRPr="00861683">
        <w:rPr>
          <w:rFonts w:ascii="Times New Roman" w:hAnsi="Times New Roman" w:cs="Simplified Arabic"/>
          <w:sz w:val="20"/>
          <w:szCs w:val="20"/>
          <w:rtl/>
          <w:lang w:bidi="ar-IQ"/>
        </w:rPr>
        <w:t xml:space="preserve"> الى الصبغة الصامدة للحامض و الزرع على وسط </w:t>
      </w:r>
      <w:proofErr w:type="spellStart"/>
      <w:r w:rsidRPr="00861683">
        <w:rPr>
          <w:rFonts w:ascii="Times New Roman" w:hAnsi="Times New Roman" w:cs="Simplified Arabic"/>
          <w:sz w:val="20"/>
          <w:szCs w:val="20"/>
          <w:rtl/>
          <w:lang w:bidi="ar-IQ"/>
        </w:rPr>
        <w:t>لونشتن</w:t>
      </w:r>
      <w:proofErr w:type="spellEnd"/>
      <w:r w:rsidRPr="00861683">
        <w:rPr>
          <w:rFonts w:ascii="Times New Roman" w:hAnsi="Times New Roman" w:cs="Simplified Arabic"/>
          <w:sz w:val="20"/>
          <w:szCs w:val="20"/>
          <w:rtl/>
          <w:lang w:bidi="ar-IQ"/>
        </w:rPr>
        <w:t>-جنسن في التشخيص المختبري لحالات التدرن.</w:t>
      </w:r>
      <w:r w:rsidR="00E4260C" w:rsidRPr="00861683">
        <w:rPr>
          <w:rFonts w:ascii="Times New Roman" w:hAnsi="Times New Roman" w:cs="Simplified Arabic"/>
          <w:sz w:val="20"/>
          <w:szCs w:val="20"/>
          <w:rtl/>
          <w:lang w:bidi="ar-IQ"/>
        </w:rPr>
        <w:t xml:space="preserve"> </w:t>
      </w:r>
      <w:r w:rsidRPr="00861683">
        <w:rPr>
          <w:rFonts w:ascii="Times New Roman" w:hAnsi="Times New Roman" w:cs="Simplified Arabic"/>
          <w:sz w:val="20"/>
          <w:szCs w:val="20"/>
          <w:rtl/>
          <w:lang w:bidi="ar-IQ"/>
        </w:rPr>
        <w:t xml:space="preserve">أظهرت نتائج الدراسة ان الحساسية التشخيصية للصبغة الصامدة للحامض، الزرع البكتيري، </w:t>
      </w:r>
      <w:r w:rsidRPr="00861683">
        <w:rPr>
          <w:rFonts w:ascii="Times New Roman" w:hAnsi="Times New Roman" w:cs="Simplified Arabic"/>
          <w:sz w:val="20"/>
          <w:szCs w:val="20"/>
          <w:lang w:bidi="ar-IQ"/>
        </w:rPr>
        <w:t>RT-PCR</w:t>
      </w:r>
      <w:r w:rsidRPr="00861683">
        <w:rPr>
          <w:rFonts w:ascii="Times New Roman" w:hAnsi="Times New Roman" w:cs="Simplified Arabic"/>
          <w:sz w:val="20"/>
          <w:szCs w:val="20"/>
          <w:rtl/>
          <w:lang w:bidi="ar-IQ"/>
        </w:rPr>
        <w:t xml:space="preserve"> و </w:t>
      </w:r>
      <w:proofErr w:type="spellStart"/>
      <w:r w:rsidRPr="00861683">
        <w:rPr>
          <w:rFonts w:ascii="Times New Roman" w:hAnsi="Times New Roman" w:cs="Simplified Arabic"/>
          <w:sz w:val="20"/>
          <w:szCs w:val="20"/>
          <w:rtl/>
          <w:lang w:bidi="ar-IQ"/>
        </w:rPr>
        <w:t>الكروماتوكرافيا</w:t>
      </w:r>
      <w:proofErr w:type="spellEnd"/>
      <w:r w:rsidRPr="00861683">
        <w:rPr>
          <w:rFonts w:ascii="Times New Roman" w:hAnsi="Times New Roman" w:cs="Simplified Arabic"/>
          <w:sz w:val="20"/>
          <w:szCs w:val="20"/>
          <w:rtl/>
          <w:lang w:bidi="ar-IQ"/>
        </w:rPr>
        <w:t xml:space="preserve"> المناعية كانت 74%، 43% ، 88% و 24% على التوالي.</w:t>
      </w:r>
      <w:r w:rsidR="00E4260C" w:rsidRPr="00861683">
        <w:rPr>
          <w:rFonts w:ascii="Times New Roman" w:hAnsi="Times New Roman" w:cs="Simplified Arabic"/>
          <w:sz w:val="20"/>
          <w:szCs w:val="20"/>
          <w:rtl/>
          <w:lang w:bidi="ar-IQ"/>
        </w:rPr>
        <w:t xml:space="preserve"> تم الحصول على درجة حساسية تشخيصية بلغت 99% </w:t>
      </w:r>
      <w:r w:rsidR="00E4260C" w:rsidRPr="00861683">
        <w:rPr>
          <w:rFonts w:ascii="Times New Roman" w:hAnsi="Times New Roman" w:cs="Simplified Arabic"/>
          <w:sz w:val="20"/>
          <w:szCs w:val="20"/>
          <w:rtl/>
          <w:lang w:bidi="ar-IQ"/>
        </w:rPr>
        <w:lastRenderedPageBreak/>
        <w:t xml:space="preserve">باستخدام كلا تقنيتي الصبغة الصامدة للحامض و </w:t>
      </w:r>
      <w:r w:rsidR="00E4260C" w:rsidRPr="00861683">
        <w:rPr>
          <w:rFonts w:ascii="Times New Roman" w:hAnsi="Times New Roman" w:cs="Simplified Arabic"/>
          <w:sz w:val="20"/>
          <w:szCs w:val="20"/>
          <w:lang w:bidi="ar-IQ"/>
        </w:rPr>
        <w:t>RT-PCR</w:t>
      </w:r>
      <w:r w:rsidR="00E4260C" w:rsidRPr="00861683">
        <w:rPr>
          <w:rFonts w:ascii="Times New Roman" w:hAnsi="Times New Roman" w:cs="Simplified Arabic"/>
          <w:sz w:val="20"/>
          <w:szCs w:val="20"/>
          <w:rtl/>
          <w:lang w:bidi="ar-IQ"/>
        </w:rPr>
        <w:t>.</w:t>
      </w:r>
      <w:r w:rsidR="004D400B" w:rsidRPr="00861683">
        <w:rPr>
          <w:rFonts w:ascii="Times New Roman" w:hAnsi="Times New Roman" w:cs="Simplified Arabic"/>
          <w:sz w:val="20"/>
          <w:szCs w:val="20"/>
          <w:rtl/>
          <w:lang w:bidi="ar-IQ"/>
        </w:rPr>
        <w:t xml:space="preserve"> بلغ التخصص التشخيصي 100% لكل من الصبغة الصامدة للحامض و </w:t>
      </w:r>
      <w:r w:rsidR="004D400B" w:rsidRPr="00861683">
        <w:rPr>
          <w:rFonts w:ascii="Times New Roman" w:hAnsi="Times New Roman" w:cs="Simplified Arabic"/>
          <w:sz w:val="20"/>
          <w:szCs w:val="20"/>
          <w:lang w:bidi="ar-IQ"/>
        </w:rPr>
        <w:t>RT-PCR</w:t>
      </w:r>
      <w:r w:rsidR="004D400B" w:rsidRPr="00861683">
        <w:rPr>
          <w:rFonts w:ascii="Times New Roman" w:hAnsi="Times New Roman" w:cs="Simplified Arabic"/>
          <w:sz w:val="20"/>
          <w:szCs w:val="20"/>
          <w:rtl/>
          <w:lang w:bidi="ar-IQ"/>
        </w:rPr>
        <w:t xml:space="preserve"> بينما كلن التخصص التشخيصي </w:t>
      </w:r>
      <w:proofErr w:type="spellStart"/>
      <w:r w:rsidR="004D400B" w:rsidRPr="00861683">
        <w:rPr>
          <w:rFonts w:ascii="Times New Roman" w:hAnsi="Times New Roman" w:cs="Simplified Arabic"/>
          <w:sz w:val="20"/>
          <w:szCs w:val="20"/>
          <w:rtl/>
          <w:lang w:bidi="ar-IQ"/>
        </w:rPr>
        <w:t>للكروماتوكرافيا</w:t>
      </w:r>
      <w:proofErr w:type="spellEnd"/>
      <w:r w:rsidR="004D400B" w:rsidRPr="00861683">
        <w:rPr>
          <w:rFonts w:ascii="Times New Roman" w:hAnsi="Times New Roman" w:cs="Simplified Arabic"/>
          <w:sz w:val="20"/>
          <w:szCs w:val="20"/>
          <w:rtl/>
          <w:lang w:bidi="ar-IQ"/>
        </w:rPr>
        <w:t xml:space="preserve"> المناعية 98%.  </w:t>
      </w:r>
    </w:p>
    <w:p w:rsidR="00861683" w:rsidRPr="00861683" w:rsidRDefault="00C476FA" w:rsidP="00861683">
      <w:pPr>
        <w:bidi/>
        <w:spacing w:after="0" w:line="240" w:lineRule="auto"/>
        <w:jc w:val="both"/>
        <w:rPr>
          <w:rFonts w:ascii="Times New Roman" w:hAnsi="Times New Roman" w:cs="Simplified Arabic"/>
          <w:sz w:val="20"/>
          <w:szCs w:val="20"/>
          <w:rtl/>
          <w:lang w:bidi="ar-IQ"/>
        </w:rPr>
      </w:pPr>
      <w:r w:rsidRPr="00861683">
        <w:rPr>
          <w:rFonts w:ascii="Times New Roman" w:hAnsi="Times New Roman" w:cs="Simplified Arabic"/>
          <w:sz w:val="20"/>
          <w:szCs w:val="20"/>
          <w:rtl/>
          <w:lang w:bidi="ar-IQ"/>
        </w:rPr>
        <w:t xml:space="preserve"> تبين من النتائج ان استخدام كلا تقنيتي الصبغة الصامدة للحامض و </w:t>
      </w:r>
      <w:r w:rsidRPr="00861683">
        <w:rPr>
          <w:rFonts w:ascii="Times New Roman" w:hAnsi="Times New Roman" w:cs="Simplified Arabic"/>
          <w:sz w:val="20"/>
          <w:szCs w:val="20"/>
          <w:lang w:bidi="ar-IQ"/>
        </w:rPr>
        <w:t>RT-PCR</w:t>
      </w:r>
      <w:r w:rsidRPr="00861683">
        <w:rPr>
          <w:rFonts w:ascii="Times New Roman" w:hAnsi="Times New Roman" w:cs="Simplified Arabic"/>
          <w:sz w:val="20"/>
          <w:szCs w:val="20"/>
          <w:rtl/>
          <w:lang w:bidi="ar-IQ"/>
        </w:rPr>
        <w:t xml:space="preserve"> مما ادى الى ارتفاع قيمة الحساسية التشخيصية الى 99% وذلك مقارنة بالحساسية التشخيصية لاستخدام تقنيات الصبغة الصامدة للحامض، </w:t>
      </w:r>
      <w:proofErr w:type="spellStart"/>
      <w:r w:rsidRPr="00861683">
        <w:rPr>
          <w:rFonts w:ascii="Times New Roman" w:hAnsi="Times New Roman" w:cs="Simplified Arabic"/>
          <w:sz w:val="20"/>
          <w:szCs w:val="20"/>
          <w:rtl/>
          <w:lang w:bidi="ar-IQ"/>
        </w:rPr>
        <w:t>الرزع</w:t>
      </w:r>
      <w:proofErr w:type="spellEnd"/>
      <w:r w:rsidRPr="00861683">
        <w:rPr>
          <w:rFonts w:ascii="Times New Roman" w:hAnsi="Times New Roman" w:cs="Simplified Arabic"/>
          <w:sz w:val="20"/>
          <w:szCs w:val="20"/>
          <w:rtl/>
          <w:lang w:bidi="ar-IQ"/>
        </w:rPr>
        <w:t xml:space="preserve"> البكتيري،   </w:t>
      </w:r>
      <w:r w:rsidRPr="00861683">
        <w:rPr>
          <w:rFonts w:ascii="Times New Roman" w:hAnsi="Times New Roman" w:cs="Simplified Arabic"/>
          <w:sz w:val="20"/>
          <w:szCs w:val="20"/>
          <w:lang w:bidi="ar-IQ"/>
        </w:rPr>
        <w:t>RT-PCR</w:t>
      </w:r>
      <w:r w:rsidRPr="00861683">
        <w:rPr>
          <w:rFonts w:ascii="Times New Roman" w:hAnsi="Times New Roman" w:cs="Simplified Arabic"/>
          <w:sz w:val="20"/>
          <w:szCs w:val="20"/>
          <w:rtl/>
          <w:lang w:bidi="ar-IQ"/>
        </w:rPr>
        <w:t xml:space="preserve"> و </w:t>
      </w:r>
      <w:proofErr w:type="spellStart"/>
      <w:r w:rsidRPr="00861683">
        <w:rPr>
          <w:rFonts w:ascii="Times New Roman" w:hAnsi="Times New Roman" w:cs="Simplified Arabic"/>
          <w:sz w:val="20"/>
          <w:szCs w:val="20"/>
          <w:rtl/>
          <w:lang w:bidi="ar-IQ"/>
        </w:rPr>
        <w:t>الكروماتوكرافيا</w:t>
      </w:r>
      <w:proofErr w:type="spellEnd"/>
      <w:r w:rsidRPr="00861683">
        <w:rPr>
          <w:rFonts w:ascii="Times New Roman" w:hAnsi="Times New Roman" w:cs="Simplified Arabic"/>
          <w:sz w:val="20"/>
          <w:szCs w:val="20"/>
          <w:rtl/>
          <w:lang w:bidi="ar-IQ"/>
        </w:rPr>
        <w:t xml:space="preserve"> المناعية كفحص تشخيصي منفرد.</w:t>
      </w:r>
    </w:p>
    <w:p w:rsidR="00C476FA" w:rsidRPr="00C476FA" w:rsidRDefault="00861683" w:rsidP="00861683">
      <w:pPr>
        <w:bidi/>
        <w:spacing w:after="0" w:line="240" w:lineRule="auto"/>
        <w:jc w:val="both"/>
        <w:rPr>
          <w:rFonts w:ascii="Simplified Arabic" w:hAnsi="Simplified Arabic" w:cs="Simplified Arabic"/>
          <w:sz w:val="20"/>
          <w:szCs w:val="20"/>
          <w:rtl/>
          <w:lang w:bidi="ar-IQ"/>
        </w:rPr>
      </w:pPr>
      <w:r w:rsidRPr="00861683">
        <w:rPr>
          <w:rFonts w:ascii="Times New Roman" w:hAnsi="Times New Roman" w:cs="Simplified Arabic" w:hint="cs"/>
          <w:sz w:val="20"/>
          <w:szCs w:val="20"/>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C476FA" w:rsidRPr="00C476FA">
        <w:rPr>
          <w:rFonts w:ascii="Simplified Arabic" w:hAnsi="Simplified Arabic" w:cs="Simplified Arabic"/>
          <w:sz w:val="20"/>
          <w:szCs w:val="20"/>
          <w:rtl/>
          <w:lang w:bidi="ar-IQ"/>
        </w:rPr>
        <w:t xml:space="preserve">   </w:t>
      </w:r>
    </w:p>
    <w:p w:rsidR="00861683" w:rsidRDefault="00861683" w:rsidP="00861683">
      <w:pPr>
        <w:pStyle w:val="1"/>
        <w:numPr>
          <w:ilvl w:val="0"/>
          <w:numId w:val="0"/>
        </w:numPr>
        <w:tabs>
          <w:tab w:val="right" w:pos="426"/>
        </w:tabs>
        <w:spacing w:before="0" w:after="0"/>
        <w:jc w:val="left"/>
        <w:rPr>
          <w:rFonts w:asciiTheme="majorBidi" w:eastAsia="Calibri" w:hAnsiTheme="majorBidi" w:cstheme="majorBidi"/>
          <w:b/>
          <w:bCs/>
          <w:smallCaps w:val="0"/>
          <w:kern w:val="0"/>
          <w:sz w:val="24"/>
          <w:szCs w:val="24"/>
          <w:u w:val="single"/>
        </w:rPr>
        <w:sectPr w:rsidR="00861683" w:rsidSect="00010023">
          <w:headerReference w:type="even" r:id="rId9"/>
          <w:footerReference w:type="default" r:id="rId10"/>
          <w:headerReference w:type="first" r:id="rId11"/>
          <w:footerReference w:type="first" r:id="rId12"/>
          <w:pgSz w:w="11907" w:h="16840" w:code="9"/>
          <w:pgMar w:top="1440" w:right="1800" w:bottom="1440" w:left="1800" w:header="1138" w:footer="236" w:gutter="0"/>
          <w:pgNumType w:start="58"/>
          <w:cols w:space="720"/>
          <w:titlePg/>
          <w:docGrid w:linePitch="360"/>
        </w:sectPr>
      </w:pPr>
    </w:p>
    <w:p w:rsidR="000312AC" w:rsidRPr="00861683" w:rsidRDefault="00771EA3" w:rsidP="00861683">
      <w:pPr>
        <w:pStyle w:val="1"/>
        <w:numPr>
          <w:ilvl w:val="0"/>
          <w:numId w:val="0"/>
        </w:numPr>
        <w:tabs>
          <w:tab w:val="right" w:pos="426"/>
        </w:tabs>
        <w:spacing w:before="0" w:after="0"/>
        <w:jc w:val="left"/>
        <w:rPr>
          <w:rFonts w:asciiTheme="majorBidi" w:eastAsia="Calibri" w:hAnsiTheme="majorBidi" w:cstheme="majorBidi"/>
          <w:b/>
          <w:bCs/>
          <w:smallCaps w:val="0"/>
          <w:kern w:val="0"/>
          <w:sz w:val="24"/>
          <w:szCs w:val="24"/>
          <w:u w:val="single"/>
        </w:rPr>
      </w:pPr>
      <w:r w:rsidRPr="00861683">
        <w:rPr>
          <w:rFonts w:asciiTheme="majorBidi" w:eastAsia="Calibri" w:hAnsiTheme="majorBidi" w:cstheme="majorBidi"/>
          <w:b/>
          <w:bCs/>
          <w:smallCaps w:val="0"/>
          <w:kern w:val="0"/>
          <w:sz w:val="24"/>
          <w:szCs w:val="24"/>
          <w:u w:val="single"/>
        </w:rPr>
        <w:lastRenderedPageBreak/>
        <w:t xml:space="preserve">Introduction </w:t>
      </w:r>
    </w:p>
    <w:p w:rsidR="00455991" w:rsidRPr="00455991" w:rsidRDefault="00455991" w:rsidP="00455991">
      <w:pPr>
        <w:keepNext/>
        <w:framePr w:dropCap="drop" w:lines="3" w:wrap="around" w:vAnchor="text" w:hAnchor="text"/>
        <w:spacing w:after="0" w:line="827" w:lineRule="exact"/>
        <w:jc w:val="both"/>
        <w:textAlignment w:val="baseline"/>
        <w:rPr>
          <w:rFonts w:asciiTheme="majorBidi" w:hAnsiTheme="majorBidi" w:cstheme="majorBidi"/>
          <w:position w:val="-11"/>
          <w:sz w:val="112"/>
          <w:szCs w:val="112"/>
        </w:rPr>
      </w:pPr>
      <w:r w:rsidRPr="00455991">
        <w:rPr>
          <w:rFonts w:asciiTheme="majorBidi" w:hAnsiTheme="majorBidi" w:cstheme="majorBidi"/>
          <w:position w:val="-11"/>
          <w:sz w:val="112"/>
          <w:szCs w:val="112"/>
        </w:rPr>
        <w:t>T</w:t>
      </w:r>
    </w:p>
    <w:p w:rsidR="000312AC" w:rsidRPr="00861683" w:rsidRDefault="000312AC" w:rsidP="00861683">
      <w:pPr>
        <w:adjustRightInd w:val="0"/>
        <w:spacing w:after="0" w:line="240" w:lineRule="auto"/>
        <w:jc w:val="both"/>
        <w:rPr>
          <w:rFonts w:asciiTheme="majorBidi" w:hAnsiTheme="majorBidi" w:cstheme="majorBidi"/>
          <w:sz w:val="24"/>
          <w:szCs w:val="24"/>
        </w:rPr>
      </w:pPr>
      <w:r w:rsidRPr="00861683">
        <w:rPr>
          <w:rFonts w:asciiTheme="majorBidi" w:hAnsiTheme="majorBidi" w:cstheme="majorBidi"/>
          <w:sz w:val="24"/>
          <w:szCs w:val="24"/>
        </w:rPr>
        <w:t xml:space="preserve">uberculosis (TB) is an ancient and devastating plague caused by infection with the bacterial pathogen </w:t>
      </w:r>
      <w:r w:rsidRPr="00861683">
        <w:rPr>
          <w:rFonts w:asciiTheme="majorBidi" w:hAnsiTheme="majorBidi" w:cstheme="majorBidi"/>
          <w:i/>
          <w:iCs/>
          <w:sz w:val="24"/>
          <w:szCs w:val="24"/>
        </w:rPr>
        <w:t>Mycobacterium tuberculosis</w:t>
      </w:r>
      <w:r w:rsidRPr="00861683">
        <w:rPr>
          <w:rFonts w:asciiTheme="majorBidi" w:hAnsiTheme="majorBidi" w:cstheme="majorBidi"/>
          <w:sz w:val="24"/>
          <w:szCs w:val="24"/>
        </w:rPr>
        <w:t xml:space="preserve">. The disease continues to exact a staggering toll on human life in the present day, killing an estimated 1.7 million people worldwide in the year 2009 alone </w:t>
      </w:r>
      <w:fldSimple w:instr=" REF _Ref337286498 \r \h  \* MERGEFORMAT ">
        <w:r w:rsidR="00756FFD" w:rsidRPr="00861683">
          <w:rPr>
            <w:rFonts w:asciiTheme="majorBidi" w:hAnsiTheme="majorBidi" w:cstheme="majorBidi"/>
            <w:sz w:val="24"/>
            <w:szCs w:val="24"/>
          </w:rPr>
          <w:t>[1]</w:t>
        </w:r>
      </w:fldSimple>
      <w:r w:rsidRPr="00861683">
        <w:rPr>
          <w:rFonts w:asciiTheme="majorBidi" w:hAnsiTheme="majorBidi" w:cstheme="majorBidi"/>
          <w:sz w:val="24"/>
          <w:szCs w:val="24"/>
        </w:rPr>
        <w:t xml:space="preserve">. </w:t>
      </w:r>
    </w:p>
    <w:p w:rsidR="000312AC" w:rsidRPr="00861683" w:rsidRDefault="000312AC" w:rsidP="00861683">
      <w:pPr>
        <w:adjustRightInd w:val="0"/>
        <w:spacing w:after="0" w:line="240" w:lineRule="auto"/>
        <w:ind w:firstLine="720"/>
        <w:jc w:val="both"/>
        <w:rPr>
          <w:rFonts w:asciiTheme="majorBidi" w:hAnsiTheme="majorBidi" w:cstheme="majorBidi"/>
          <w:sz w:val="24"/>
          <w:szCs w:val="24"/>
        </w:rPr>
      </w:pPr>
      <w:r w:rsidRPr="00861683">
        <w:rPr>
          <w:rFonts w:asciiTheme="majorBidi" w:hAnsiTheme="majorBidi" w:cstheme="majorBidi"/>
          <w:sz w:val="24"/>
          <w:szCs w:val="24"/>
        </w:rPr>
        <w:t xml:space="preserve">The most widely used rapid test is direct microscopy of a smear of sputum (or other clinical sample) which has been stained for acid-fast bacilli (AFB smear). AFB smear microscopy is the main diagnostic method currently used in most low income countries because it is simple, inexpensive, widely applicable and specific for TB. It is also useful because it has the ability to identify the sickest and most infectious patients. The main disadvantage to smear microscopy is that its overall sensitivity ranges from 20% to 80%, depending on the type of specimen, the patient population, and the technician's performance. Moreover, the sensitivity of smear microscopy is limited in </w:t>
      </w:r>
      <w:proofErr w:type="spellStart"/>
      <w:r w:rsidRPr="00861683">
        <w:rPr>
          <w:rFonts w:asciiTheme="majorBidi" w:hAnsiTheme="majorBidi" w:cstheme="majorBidi"/>
          <w:sz w:val="24"/>
          <w:szCs w:val="24"/>
        </w:rPr>
        <w:t>paediatric</w:t>
      </w:r>
      <w:proofErr w:type="spellEnd"/>
      <w:r w:rsidRPr="00861683">
        <w:rPr>
          <w:rFonts w:asciiTheme="majorBidi" w:hAnsiTheme="majorBidi" w:cstheme="majorBidi"/>
          <w:sz w:val="24"/>
          <w:szCs w:val="24"/>
        </w:rPr>
        <w:t xml:space="preserve"> TB, as well as in HIV-infected patients. Because direct microscopy cannot distinguish between </w:t>
      </w:r>
      <w:r w:rsidRPr="00861683">
        <w:rPr>
          <w:rFonts w:asciiTheme="majorBidi" w:hAnsiTheme="majorBidi" w:cstheme="majorBidi"/>
          <w:i/>
          <w:iCs/>
          <w:sz w:val="24"/>
          <w:szCs w:val="24"/>
        </w:rPr>
        <w:t>Mycobacterium tuberculosis</w:t>
      </w:r>
      <w:r w:rsidRPr="00861683">
        <w:rPr>
          <w:rFonts w:asciiTheme="majorBidi" w:hAnsiTheme="majorBidi" w:cstheme="majorBidi"/>
          <w:sz w:val="24"/>
          <w:szCs w:val="24"/>
        </w:rPr>
        <w:t xml:space="preserve"> (MTB) and </w:t>
      </w:r>
      <w:proofErr w:type="spellStart"/>
      <w:r w:rsidRPr="00861683">
        <w:rPr>
          <w:rFonts w:asciiTheme="majorBidi" w:hAnsiTheme="majorBidi" w:cstheme="majorBidi"/>
          <w:sz w:val="24"/>
          <w:szCs w:val="24"/>
        </w:rPr>
        <w:t>nontuberculous</w:t>
      </w:r>
      <w:proofErr w:type="spellEnd"/>
      <w:r w:rsidRPr="00861683">
        <w:rPr>
          <w:rFonts w:asciiTheme="majorBidi" w:hAnsiTheme="majorBidi" w:cstheme="majorBidi"/>
          <w:sz w:val="24"/>
          <w:szCs w:val="24"/>
        </w:rPr>
        <w:t xml:space="preserve"> </w:t>
      </w:r>
      <w:proofErr w:type="spellStart"/>
      <w:r w:rsidRPr="00861683">
        <w:rPr>
          <w:rFonts w:asciiTheme="majorBidi" w:hAnsiTheme="majorBidi" w:cstheme="majorBidi"/>
          <w:sz w:val="24"/>
          <w:szCs w:val="24"/>
        </w:rPr>
        <w:t>mycobacteria</w:t>
      </w:r>
      <w:proofErr w:type="spellEnd"/>
      <w:r w:rsidRPr="00861683">
        <w:rPr>
          <w:rFonts w:asciiTheme="majorBidi" w:hAnsiTheme="majorBidi" w:cstheme="majorBidi"/>
          <w:sz w:val="24"/>
          <w:szCs w:val="24"/>
        </w:rPr>
        <w:t xml:space="preserve"> (NTM), specificity is also of concern, although this is not a serious concern in countries with high TB incidence. AFB smear is also </w:t>
      </w:r>
      <w:proofErr w:type="spellStart"/>
      <w:r w:rsidRPr="00861683">
        <w:rPr>
          <w:rFonts w:asciiTheme="majorBidi" w:hAnsiTheme="majorBidi" w:cstheme="majorBidi"/>
          <w:sz w:val="24"/>
          <w:szCs w:val="24"/>
        </w:rPr>
        <w:t>labour</w:t>
      </w:r>
      <w:proofErr w:type="spellEnd"/>
      <w:r w:rsidRPr="00861683">
        <w:rPr>
          <w:rFonts w:asciiTheme="majorBidi" w:hAnsiTheme="majorBidi" w:cstheme="majorBidi"/>
          <w:sz w:val="24"/>
          <w:szCs w:val="24"/>
        </w:rPr>
        <w:t xml:space="preserve"> intensive, so in countries with high cost of </w:t>
      </w:r>
      <w:proofErr w:type="spellStart"/>
      <w:r w:rsidRPr="00861683">
        <w:rPr>
          <w:rFonts w:asciiTheme="majorBidi" w:hAnsiTheme="majorBidi" w:cstheme="majorBidi"/>
          <w:sz w:val="24"/>
          <w:szCs w:val="24"/>
        </w:rPr>
        <w:t>labour</w:t>
      </w:r>
      <w:proofErr w:type="spellEnd"/>
      <w:r w:rsidRPr="00861683">
        <w:rPr>
          <w:rFonts w:asciiTheme="majorBidi" w:hAnsiTheme="majorBidi" w:cstheme="majorBidi"/>
          <w:sz w:val="24"/>
          <w:szCs w:val="24"/>
        </w:rPr>
        <w:t xml:space="preserve"> this will not be cheap </w:t>
      </w:r>
      <w:fldSimple w:instr=" REF _Ref337286578 \r \h  \* MERGEFORMAT ">
        <w:r w:rsidR="00756FFD" w:rsidRPr="00861683">
          <w:rPr>
            <w:rFonts w:asciiTheme="majorBidi" w:hAnsiTheme="majorBidi" w:cstheme="majorBidi"/>
            <w:sz w:val="24"/>
            <w:szCs w:val="24"/>
          </w:rPr>
          <w:t>[3]</w:t>
        </w:r>
      </w:fldSimple>
      <w:r w:rsidRPr="00861683">
        <w:rPr>
          <w:rFonts w:asciiTheme="majorBidi" w:hAnsiTheme="majorBidi" w:cstheme="majorBidi"/>
          <w:sz w:val="24"/>
          <w:szCs w:val="24"/>
        </w:rPr>
        <w:t>.</w:t>
      </w:r>
    </w:p>
    <w:p w:rsidR="000312AC" w:rsidRPr="00861683" w:rsidRDefault="000312AC" w:rsidP="00861683">
      <w:pPr>
        <w:adjustRightInd w:val="0"/>
        <w:spacing w:after="0" w:line="240" w:lineRule="auto"/>
        <w:ind w:firstLine="720"/>
        <w:jc w:val="both"/>
        <w:rPr>
          <w:rFonts w:asciiTheme="majorBidi" w:hAnsiTheme="majorBidi" w:cstheme="majorBidi"/>
          <w:sz w:val="24"/>
          <w:szCs w:val="24"/>
        </w:rPr>
      </w:pPr>
      <w:proofErr w:type="spellStart"/>
      <w:r w:rsidRPr="00861683">
        <w:rPr>
          <w:rFonts w:asciiTheme="majorBidi" w:hAnsiTheme="majorBidi" w:cstheme="majorBidi"/>
          <w:sz w:val="24"/>
          <w:szCs w:val="24"/>
        </w:rPr>
        <w:t>Mycobacterial</w:t>
      </w:r>
      <w:proofErr w:type="spellEnd"/>
      <w:r w:rsidRPr="00861683">
        <w:rPr>
          <w:rFonts w:asciiTheme="majorBidi" w:hAnsiTheme="majorBidi" w:cstheme="majorBidi"/>
          <w:sz w:val="24"/>
          <w:szCs w:val="24"/>
        </w:rPr>
        <w:t xml:space="preserve"> culture is more sensitive and specific for the diagnosis of TB than AFB smear and is </w:t>
      </w:r>
      <w:r w:rsidRPr="00861683">
        <w:rPr>
          <w:rFonts w:asciiTheme="majorBidi" w:hAnsiTheme="majorBidi" w:cstheme="majorBidi"/>
          <w:sz w:val="24"/>
          <w:szCs w:val="24"/>
        </w:rPr>
        <w:lastRenderedPageBreak/>
        <w:t xml:space="preserve">considered the gold standard in diagnostics for TB. The main disadvantage of mycobacterial culture is the long incubation period to get the results </w:t>
      </w:r>
      <w:fldSimple w:instr=" REF _Ref337286555 \r \h  \* MERGEFORMAT ">
        <w:r w:rsidR="00756FFD" w:rsidRPr="00861683">
          <w:rPr>
            <w:rFonts w:asciiTheme="majorBidi" w:hAnsiTheme="majorBidi" w:cstheme="majorBidi"/>
            <w:sz w:val="24"/>
            <w:szCs w:val="24"/>
          </w:rPr>
          <w:t>[2]</w:t>
        </w:r>
      </w:fldSimple>
      <w:r w:rsidRPr="00861683">
        <w:rPr>
          <w:rFonts w:asciiTheme="majorBidi" w:hAnsiTheme="majorBidi" w:cstheme="majorBidi"/>
          <w:sz w:val="24"/>
          <w:szCs w:val="24"/>
        </w:rPr>
        <w:t>.</w:t>
      </w:r>
    </w:p>
    <w:p w:rsidR="000312AC" w:rsidRPr="00861683" w:rsidRDefault="000312AC" w:rsidP="00861683">
      <w:pPr>
        <w:adjustRightInd w:val="0"/>
        <w:spacing w:after="0" w:line="240" w:lineRule="auto"/>
        <w:ind w:firstLine="720"/>
        <w:jc w:val="both"/>
        <w:rPr>
          <w:rFonts w:asciiTheme="majorBidi" w:hAnsiTheme="majorBidi" w:cstheme="majorBidi"/>
          <w:sz w:val="24"/>
          <w:szCs w:val="24"/>
        </w:rPr>
      </w:pPr>
      <w:r w:rsidRPr="00861683">
        <w:rPr>
          <w:rFonts w:asciiTheme="majorBidi" w:hAnsiTheme="majorBidi" w:cstheme="majorBidi"/>
          <w:sz w:val="24"/>
          <w:szCs w:val="24"/>
        </w:rPr>
        <w:t xml:space="preserve">Nucleic acid amplification tests amplify target sequences of DNA or RNA from the MTB organisms. These tests are complex and expensive but have advantages, including high specificity, greater sensitivity than smear microscopy, with an average of about 80% compared to culture. They are also very quick as they can provide results within one day. However, sensitivity is modest in smear-negative pulmonary TB, and in extra-pulmonary disease averages 50-60%. False positives can also be very frequent, because without meticulous laboratory procedures and techniques, cross-contamination is frequent, which can lead to all specimens being positive </w:t>
      </w:r>
      <w:r w:rsidR="00061D14" w:rsidRPr="00861683">
        <w:rPr>
          <w:rFonts w:asciiTheme="majorBidi" w:hAnsiTheme="majorBidi" w:cstheme="majorBidi"/>
          <w:sz w:val="24"/>
          <w:szCs w:val="24"/>
        </w:rPr>
        <w:fldChar w:fldCharType="begin"/>
      </w:r>
      <w:r w:rsidR="0015764B" w:rsidRPr="00861683">
        <w:rPr>
          <w:rFonts w:asciiTheme="majorBidi" w:hAnsiTheme="majorBidi" w:cstheme="majorBidi"/>
          <w:sz w:val="24"/>
          <w:szCs w:val="24"/>
        </w:rPr>
        <w:instrText xml:space="preserve"> REF _Ref337286604 \r \h  \* MERGEFORMAT </w:instrText>
      </w:r>
      <w:r w:rsidR="00061D14" w:rsidRPr="00861683">
        <w:rPr>
          <w:rFonts w:asciiTheme="majorBidi" w:hAnsiTheme="majorBidi" w:cstheme="majorBidi"/>
          <w:sz w:val="24"/>
          <w:szCs w:val="24"/>
        </w:rPr>
      </w:r>
      <w:r w:rsidR="00061D14" w:rsidRPr="00861683">
        <w:rPr>
          <w:rFonts w:asciiTheme="majorBidi" w:hAnsiTheme="majorBidi" w:cstheme="majorBidi"/>
          <w:sz w:val="24"/>
          <w:szCs w:val="24"/>
        </w:rPr>
        <w:fldChar w:fldCharType="separate"/>
      </w:r>
      <w:proofErr w:type="spellStart"/>
      <w:r w:rsidR="00756FFD" w:rsidRPr="00861683">
        <w:rPr>
          <w:rFonts w:asciiTheme="majorBidi" w:hAnsiTheme="majorBidi" w:cstheme="majorBidi"/>
          <w:sz w:val="24"/>
          <w:szCs w:val="24"/>
          <w:cs/>
        </w:rPr>
        <w:t>‎</w:t>
      </w:r>
      <w:proofErr w:type="spellEnd"/>
      <w:r w:rsidR="00756FFD" w:rsidRPr="00861683">
        <w:rPr>
          <w:rFonts w:asciiTheme="majorBidi" w:hAnsiTheme="majorBidi" w:cstheme="majorBidi"/>
          <w:sz w:val="24"/>
          <w:szCs w:val="24"/>
        </w:rPr>
        <w:t>[4]</w:t>
      </w:r>
      <w:r w:rsidR="00061D14" w:rsidRPr="00861683">
        <w:rPr>
          <w:rFonts w:asciiTheme="majorBidi" w:hAnsiTheme="majorBidi" w:cstheme="majorBidi"/>
          <w:sz w:val="24"/>
          <w:szCs w:val="24"/>
        </w:rPr>
        <w:fldChar w:fldCharType="end"/>
      </w:r>
      <w:r w:rsidRPr="00861683">
        <w:rPr>
          <w:rFonts w:asciiTheme="majorBidi" w:hAnsiTheme="majorBidi" w:cstheme="majorBidi"/>
          <w:sz w:val="24"/>
          <w:szCs w:val="24"/>
        </w:rPr>
        <w:t>. Real-time PCR offers several advantages over conventional PCRs: (</w:t>
      </w:r>
      <w:proofErr w:type="spellStart"/>
      <w:r w:rsidRPr="00861683">
        <w:rPr>
          <w:rFonts w:asciiTheme="majorBidi" w:hAnsiTheme="majorBidi" w:cstheme="majorBidi"/>
          <w:sz w:val="24"/>
          <w:szCs w:val="24"/>
        </w:rPr>
        <w:t>i</w:t>
      </w:r>
      <w:proofErr w:type="spellEnd"/>
      <w:r w:rsidRPr="00861683">
        <w:rPr>
          <w:rFonts w:asciiTheme="majorBidi" w:hAnsiTheme="majorBidi" w:cstheme="majorBidi"/>
          <w:sz w:val="24"/>
          <w:szCs w:val="24"/>
        </w:rPr>
        <w:t xml:space="preserve">) it provides quantitative data; (ii) it reduces the risk of cross-contamination by minimizing the need for post-PCR handling; (iii) hands-on time is reduced; (iv) turnaround time is reduced; and (v) it offers high sensitivity and specificity </w:t>
      </w:r>
      <w:fldSimple w:instr=" REF _Ref337286617 \r \h  \* MERGEFORMAT ">
        <w:r w:rsidR="00756FFD" w:rsidRPr="00861683">
          <w:rPr>
            <w:rFonts w:asciiTheme="majorBidi" w:hAnsiTheme="majorBidi" w:cstheme="majorBidi"/>
            <w:sz w:val="24"/>
            <w:szCs w:val="24"/>
          </w:rPr>
          <w:t>[5]</w:t>
        </w:r>
      </w:fldSimple>
      <w:r w:rsidRPr="00861683">
        <w:rPr>
          <w:rFonts w:asciiTheme="majorBidi" w:hAnsiTheme="majorBidi" w:cstheme="majorBidi"/>
          <w:sz w:val="24"/>
          <w:szCs w:val="24"/>
        </w:rPr>
        <w:t xml:space="preserve">. </w:t>
      </w:r>
    </w:p>
    <w:p w:rsidR="000312AC" w:rsidRPr="00861683" w:rsidRDefault="000312AC" w:rsidP="00010023">
      <w:pPr>
        <w:adjustRightInd w:val="0"/>
        <w:spacing w:after="0" w:line="240" w:lineRule="auto"/>
        <w:ind w:firstLine="720"/>
        <w:jc w:val="both"/>
        <w:rPr>
          <w:rFonts w:asciiTheme="majorBidi" w:hAnsiTheme="majorBidi" w:cstheme="majorBidi"/>
          <w:sz w:val="24"/>
          <w:szCs w:val="24"/>
        </w:rPr>
      </w:pPr>
      <w:proofErr w:type="spellStart"/>
      <w:r w:rsidRPr="00861683">
        <w:rPr>
          <w:rFonts w:asciiTheme="majorBidi" w:hAnsiTheme="majorBidi" w:cstheme="majorBidi"/>
          <w:sz w:val="24"/>
          <w:szCs w:val="24"/>
        </w:rPr>
        <w:t>Serodiagnostic</w:t>
      </w:r>
      <w:proofErr w:type="spellEnd"/>
      <w:r w:rsidRPr="00861683">
        <w:rPr>
          <w:rFonts w:asciiTheme="majorBidi" w:hAnsiTheme="majorBidi" w:cstheme="majorBidi"/>
          <w:sz w:val="24"/>
          <w:szCs w:val="24"/>
        </w:rPr>
        <w:t xml:space="preserve"> tests using various antigens to measure antibodies to </w:t>
      </w:r>
      <w:r w:rsidRPr="00861683">
        <w:rPr>
          <w:rFonts w:asciiTheme="majorBidi" w:hAnsiTheme="majorBidi" w:cstheme="majorBidi"/>
          <w:i/>
          <w:iCs/>
          <w:sz w:val="24"/>
          <w:szCs w:val="24"/>
        </w:rPr>
        <w:t>M. tuberculosis</w:t>
      </w:r>
      <w:r w:rsidRPr="00861683">
        <w:rPr>
          <w:rFonts w:asciiTheme="majorBidi" w:hAnsiTheme="majorBidi" w:cstheme="majorBidi"/>
          <w:sz w:val="24"/>
          <w:szCs w:val="24"/>
        </w:rPr>
        <w:t xml:space="preserve"> in serum offer several advantages. </w:t>
      </w:r>
      <w:proofErr w:type="spellStart"/>
      <w:r w:rsidRPr="00861683">
        <w:rPr>
          <w:rFonts w:asciiTheme="majorBidi" w:hAnsiTheme="majorBidi" w:cstheme="majorBidi"/>
          <w:sz w:val="24"/>
          <w:szCs w:val="24"/>
        </w:rPr>
        <w:t>Serodiagnosis</w:t>
      </w:r>
      <w:proofErr w:type="spellEnd"/>
      <w:r w:rsidRPr="00861683">
        <w:rPr>
          <w:rFonts w:asciiTheme="majorBidi" w:hAnsiTheme="majorBidi" w:cstheme="majorBidi"/>
          <w:sz w:val="24"/>
          <w:szCs w:val="24"/>
        </w:rPr>
        <w:t xml:space="preserve"> is potentially useful for early diagnosis of both pulmonary and </w:t>
      </w:r>
      <w:proofErr w:type="spellStart"/>
      <w:r w:rsidRPr="00861683">
        <w:rPr>
          <w:rFonts w:asciiTheme="majorBidi" w:hAnsiTheme="majorBidi" w:cstheme="majorBidi"/>
          <w:sz w:val="24"/>
          <w:szCs w:val="24"/>
        </w:rPr>
        <w:t>extrapulmonary</w:t>
      </w:r>
      <w:proofErr w:type="spellEnd"/>
      <w:r w:rsidRPr="00861683">
        <w:rPr>
          <w:rFonts w:asciiTheme="majorBidi" w:hAnsiTheme="majorBidi" w:cstheme="majorBidi"/>
          <w:sz w:val="24"/>
          <w:szCs w:val="24"/>
        </w:rPr>
        <w:t xml:space="preserve"> TB, even before clinical manifestation of disease. It does not require collection of specimens from the site of disease and is, therefore, especially feasible for TB diagnosis in patients </w:t>
      </w:r>
      <w:r w:rsidRPr="00861683">
        <w:rPr>
          <w:rFonts w:asciiTheme="majorBidi" w:hAnsiTheme="majorBidi" w:cstheme="majorBidi"/>
          <w:sz w:val="24"/>
          <w:szCs w:val="24"/>
        </w:rPr>
        <w:lastRenderedPageBreak/>
        <w:t xml:space="preserve">with </w:t>
      </w:r>
      <w:proofErr w:type="spellStart"/>
      <w:r w:rsidRPr="00861683">
        <w:rPr>
          <w:rFonts w:asciiTheme="majorBidi" w:hAnsiTheme="majorBidi" w:cstheme="majorBidi"/>
          <w:sz w:val="24"/>
          <w:szCs w:val="24"/>
        </w:rPr>
        <w:t>extrapulmonary</w:t>
      </w:r>
      <w:proofErr w:type="spellEnd"/>
      <w:r w:rsidRPr="00861683">
        <w:rPr>
          <w:rFonts w:asciiTheme="majorBidi" w:hAnsiTheme="majorBidi" w:cstheme="majorBidi"/>
          <w:sz w:val="24"/>
          <w:szCs w:val="24"/>
        </w:rPr>
        <w:t xml:space="preserve"> disease and in young children who are usually incapable of providing sputum for AFB smear and culture examination </w:t>
      </w:r>
      <w:r w:rsidR="00061D14" w:rsidRPr="00861683">
        <w:rPr>
          <w:rFonts w:asciiTheme="majorBidi" w:hAnsiTheme="majorBidi" w:cstheme="majorBidi"/>
          <w:sz w:val="24"/>
          <w:szCs w:val="24"/>
        </w:rPr>
        <w:fldChar w:fldCharType="begin"/>
      </w:r>
      <w:r w:rsidR="0015764B" w:rsidRPr="00861683">
        <w:rPr>
          <w:rFonts w:asciiTheme="majorBidi" w:hAnsiTheme="majorBidi" w:cstheme="majorBidi"/>
          <w:sz w:val="24"/>
          <w:szCs w:val="24"/>
        </w:rPr>
        <w:instrText xml:space="preserve"> REF _Ref337286635 \r \h  \* MERGEFORMAT </w:instrText>
      </w:r>
      <w:r w:rsidR="00061D14" w:rsidRPr="00861683">
        <w:rPr>
          <w:rFonts w:asciiTheme="majorBidi" w:hAnsiTheme="majorBidi" w:cstheme="majorBidi"/>
          <w:sz w:val="24"/>
          <w:szCs w:val="24"/>
        </w:rPr>
      </w:r>
      <w:r w:rsidR="00061D14" w:rsidRPr="00861683">
        <w:rPr>
          <w:rFonts w:asciiTheme="majorBidi" w:hAnsiTheme="majorBidi" w:cstheme="majorBidi"/>
          <w:sz w:val="24"/>
          <w:szCs w:val="24"/>
        </w:rPr>
        <w:fldChar w:fldCharType="separate"/>
      </w:r>
      <w:proofErr w:type="spellStart"/>
      <w:r w:rsidR="00756FFD" w:rsidRPr="00861683">
        <w:rPr>
          <w:rFonts w:asciiTheme="majorBidi" w:hAnsiTheme="majorBidi" w:cstheme="majorBidi"/>
          <w:sz w:val="24"/>
          <w:szCs w:val="24"/>
          <w:cs/>
        </w:rPr>
        <w:t>‎</w:t>
      </w:r>
      <w:proofErr w:type="spellEnd"/>
      <w:r w:rsidR="00756FFD" w:rsidRPr="00861683">
        <w:rPr>
          <w:rFonts w:asciiTheme="majorBidi" w:hAnsiTheme="majorBidi" w:cstheme="majorBidi"/>
          <w:sz w:val="24"/>
          <w:szCs w:val="24"/>
        </w:rPr>
        <w:t>[6]</w:t>
      </w:r>
      <w:r w:rsidR="00061D14" w:rsidRPr="00861683">
        <w:rPr>
          <w:rFonts w:asciiTheme="majorBidi" w:hAnsiTheme="majorBidi" w:cstheme="majorBidi"/>
          <w:sz w:val="24"/>
          <w:szCs w:val="24"/>
        </w:rPr>
        <w:fldChar w:fldCharType="end"/>
      </w:r>
      <w:r w:rsidRPr="00861683">
        <w:rPr>
          <w:rFonts w:asciiTheme="majorBidi" w:hAnsiTheme="majorBidi" w:cstheme="majorBidi"/>
          <w:sz w:val="24"/>
          <w:szCs w:val="24"/>
        </w:rPr>
        <w:t>.</w:t>
      </w:r>
    </w:p>
    <w:p w:rsidR="000312AC" w:rsidRPr="00861683" w:rsidRDefault="000312AC" w:rsidP="00010023">
      <w:pPr>
        <w:adjustRightInd w:val="0"/>
        <w:spacing w:after="0" w:line="240" w:lineRule="auto"/>
        <w:ind w:firstLine="720"/>
        <w:jc w:val="both"/>
        <w:rPr>
          <w:rFonts w:asciiTheme="majorBidi" w:hAnsiTheme="majorBidi" w:cstheme="majorBidi"/>
          <w:sz w:val="24"/>
          <w:szCs w:val="24"/>
        </w:rPr>
      </w:pPr>
      <w:r w:rsidRPr="00861683">
        <w:rPr>
          <w:rFonts w:asciiTheme="majorBidi" w:hAnsiTheme="majorBidi" w:cstheme="majorBidi"/>
          <w:sz w:val="24"/>
          <w:szCs w:val="24"/>
        </w:rPr>
        <w:t xml:space="preserve">This study aimed to evaluate the real-time PCR (RT-PCR) and commercial </w:t>
      </w:r>
      <w:proofErr w:type="spellStart"/>
      <w:r w:rsidRPr="00861683">
        <w:rPr>
          <w:rFonts w:asciiTheme="majorBidi" w:hAnsiTheme="majorBidi" w:cstheme="majorBidi"/>
          <w:sz w:val="24"/>
          <w:szCs w:val="24"/>
        </w:rPr>
        <w:t>immunocromatogaphic</w:t>
      </w:r>
      <w:proofErr w:type="spellEnd"/>
      <w:r w:rsidRPr="00861683">
        <w:rPr>
          <w:rFonts w:asciiTheme="majorBidi" w:hAnsiTheme="majorBidi" w:cstheme="majorBidi"/>
          <w:sz w:val="24"/>
          <w:szCs w:val="24"/>
        </w:rPr>
        <w:t xml:space="preserve"> technique as laboratory diagnostic techniques to tuberculosis compared to conventional (Acid fast bacilli smear and culture). </w:t>
      </w:r>
    </w:p>
    <w:p w:rsidR="000312AC" w:rsidRPr="00861683" w:rsidRDefault="000312AC" w:rsidP="00010023">
      <w:pPr>
        <w:adjustRightInd w:val="0"/>
        <w:spacing w:after="0" w:line="240" w:lineRule="auto"/>
        <w:ind w:left="720"/>
        <w:jc w:val="both"/>
        <w:rPr>
          <w:rFonts w:asciiTheme="majorBidi" w:hAnsiTheme="majorBidi" w:cstheme="majorBidi"/>
          <w:sz w:val="24"/>
          <w:szCs w:val="24"/>
        </w:rPr>
      </w:pPr>
    </w:p>
    <w:p w:rsidR="000312AC" w:rsidRPr="00861683" w:rsidRDefault="003579E7" w:rsidP="00010023">
      <w:pPr>
        <w:pStyle w:val="1"/>
        <w:numPr>
          <w:ilvl w:val="0"/>
          <w:numId w:val="0"/>
        </w:numPr>
        <w:spacing w:before="0" w:after="0"/>
        <w:jc w:val="left"/>
        <w:rPr>
          <w:rFonts w:asciiTheme="majorBidi" w:eastAsia="Calibri" w:hAnsiTheme="majorBidi" w:cstheme="majorBidi"/>
          <w:b/>
          <w:bCs/>
          <w:smallCaps w:val="0"/>
          <w:kern w:val="0"/>
          <w:sz w:val="24"/>
          <w:szCs w:val="24"/>
          <w:u w:val="single"/>
        </w:rPr>
      </w:pPr>
      <w:r w:rsidRPr="00861683">
        <w:rPr>
          <w:rFonts w:asciiTheme="majorBidi" w:eastAsia="Calibri" w:hAnsiTheme="majorBidi" w:cstheme="majorBidi"/>
          <w:b/>
          <w:bCs/>
          <w:smallCaps w:val="0"/>
          <w:kern w:val="0"/>
          <w:sz w:val="24"/>
          <w:szCs w:val="24"/>
          <w:u w:val="single"/>
        </w:rPr>
        <w:t xml:space="preserve">Materials </w:t>
      </w:r>
      <w:r w:rsidR="006510C7">
        <w:rPr>
          <w:rFonts w:asciiTheme="majorBidi" w:eastAsia="Calibri" w:hAnsiTheme="majorBidi" w:cstheme="majorBidi"/>
          <w:b/>
          <w:bCs/>
          <w:smallCaps w:val="0"/>
          <w:kern w:val="0"/>
          <w:sz w:val="24"/>
          <w:szCs w:val="24"/>
          <w:u w:val="single"/>
        </w:rPr>
        <w:t>a</w:t>
      </w:r>
      <w:r w:rsidRPr="00861683">
        <w:rPr>
          <w:rFonts w:asciiTheme="majorBidi" w:eastAsia="Calibri" w:hAnsiTheme="majorBidi" w:cstheme="majorBidi"/>
          <w:b/>
          <w:bCs/>
          <w:smallCaps w:val="0"/>
          <w:kern w:val="0"/>
          <w:sz w:val="24"/>
          <w:szCs w:val="24"/>
          <w:u w:val="single"/>
        </w:rPr>
        <w:t>nd Methods</w:t>
      </w:r>
      <w:r w:rsidR="000312AC" w:rsidRPr="00861683">
        <w:rPr>
          <w:rFonts w:asciiTheme="majorBidi" w:eastAsia="Calibri" w:hAnsiTheme="majorBidi" w:cstheme="majorBidi"/>
          <w:b/>
          <w:bCs/>
          <w:smallCaps w:val="0"/>
          <w:kern w:val="0"/>
          <w:sz w:val="24"/>
          <w:szCs w:val="24"/>
          <w:u w:val="single"/>
        </w:rPr>
        <w:t xml:space="preserve"> </w:t>
      </w:r>
    </w:p>
    <w:p w:rsidR="000312AC" w:rsidRPr="006510C7" w:rsidRDefault="006510C7" w:rsidP="00010023">
      <w:pPr>
        <w:spacing w:after="0" w:line="240" w:lineRule="auto"/>
        <w:jc w:val="both"/>
        <w:rPr>
          <w:rFonts w:asciiTheme="majorBidi" w:hAnsiTheme="majorBidi" w:cstheme="majorBidi"/>
          <w:b/>
          <w:bCs/>
          <w:sz w:val="24"/>
          <w:szCs w:val="24"/>
          <w:lang w:bidi="ar-IQ"/>
        </w:rPr>
      </w:pPr>
      <w:r w:rsidRPr="006510C7">
        <w:rPr>
          <w:rFonts w:asciiTheme="majorBidi" w:hAnsiTheme="majorBidi" w:cstheme="majorBidi"/>
          <w:b/>
          <w:bCs/>
          <w:sz w:val="24"/>
          <w:szCs w:val="24"/>
          <w:lang w:bidi="ar-IQ"/>
        </w:rPr>
        <w:t xml:space="preserve">Patients </w:t>
      </w:r>
      <w:r>
        <w:rPr>
          <w:rFonts w:asciiTheme="majorBidi" w:hAnsiTheme="majorBidi" w:cstheme="majorBidi"/>
          <w:b/>
          <w:bCs/>
          <w:sz w:val="24"/>
          <w:szCs w:val="24"/>
          <w:lang w:bidi="ar-IQ"/>
        </w:rPr>
        <w:t>a</w:t>
      </w:r>
      <w:r w:rsidRPr="006510C7">
        <w:rPr>
          <w:rFonts w:asciiTheme="majorBidi" w:hAnsiTheme="majorBidi" w:cstheme="majorBidi"/>
          <w:b/>
          <w:bCs/>
          <w:sz w:val="24"/>
          <w:szCs w:val="24"/>
          <w:lang w:bidi="ar-IQ"/>
        </w:rPr>
        <w:t>nd Control Subjects</w:t>
      </w:r>
    </w:p>
    <w:p w:rsidR="000312AC" w:rsidRPr="00861683" w:rsidRDefault="000312AC" w:rsidP="00010023">
      <w:pPr>
        <w:spacing w:after="0" w:line="240" w:lineRule="auto"/>
        <w:ind w:firstLine="426"/>
        <w:jc w:val="both"/>
        <w:rPr>
          <w:rFonts w:asciiTheme="majorBidi" w:hAnsiTheme="majorBidi" w:cstheme="majorBidi"/>
          <w:sz w:val="24"/>
          <w:szCs w:val="24"/>
          <w:lang w:bidi="ar-IQ"/>
        </w:rPr>
      </w:pPr>
      <w:r w:rsidRPr="00861683">
        <w:rPr>
          <w:rFonts w:asciiTheme="majorBidi" w:hAnsiTheme="majorBidi" w:cstheme="majorBidi"/>
          <w:sz w:val="24"/>
          <w:szCs w:val="24"/>
          <w:lang w:bidi="ar-IQ"/>
        </w:rPr>
        <w:t xml:space="preserve">Study population included patients with suspected pulmonary or </w:t>
      </w:r>
      <w:proofErr w:type="spellStart"/>
      <w:r w:rsidRPr="00861683">
        <w:rPr>
          <w:rFonts w:asciiTheme="majorBidi" w:hAnsiTheme="majorBidi" w:cstheme="majorBidi"/>
          <w:sz w:val="24"/>
          <w:szCs w:val="24"/>
          <w:lang w:bidi="ar-IQ"/>
        </w:rPr>
        <w:t>extrapulmonary</w:t>
      </w:r>
      <w:proofErr w:type="spellEnd"/>
      <w:r w:rsidRPr="00861683">
        <w:rPr>
          <w:rFonts w:asciiTheme="majorBidi" w:hAnsiTheme="majorBidi" w:cstheme="majorBidi"/>
          <w:sz w:val="24"/>
          <w:szCs w:val="24"/>
          <w:lang w:bidi="ar-IQ"/>
        </w:rPr>
        <w:t xml:space="preserve"> tuberculosis from </w:t>
      </w:r>
      <w:proofErr w:type="spellStart"/>
      <w:r w:rsidRPr="00861683">
        <w:rPr>
          <w:rFonts w:asciiTheme="majorBidi" w:hAnsiTheme="majorBidi" w:cstheme="majorBidi"/>
          <w:sz w:val="24"/>
          <w:szCs w:val="24"/>
          <w:lang w:bidi="ar-IQ"/>
        </w:rPr>
        <w:t>Babil</w:t>
      </w:r>
      <w:proofErr w:type="spellEnd"/>
      <w:r w:rsidRPr="00861683">
        <w:rPr>
          <w:rFonts w:asciiTheme="majorBidi" w:hAnsiTheme="majorBidi" w:cstheme="majorBidi"/>
          <w:sz w:val="24"/>
          <w:szCs w:val="24"/>
          <w:lang w:bidi="ar-IQ"/>
        </w:rPr>
        <w:t xml:space="preserve"> province - Iraq. Whole blood and sputum samples were collected from 136 TB cases at consultant clinic for respiratory diseases in </w:t>
      </w:r>
      <w:proofErr w:type="spellStart"/>
      <w:r w:rsidRPr="00861683">
        <w:rPr>
          <w:rFonts w:asciiTheme="majorBidi" w:hAnsiTheme="majorBidi" w:cstheme="majorBidi"/>
          <w:sz w:val="24"/>
          <w:szCs w:val="24"/>
          <w:lang w:bidi="ar-IQ"/>
        </w:rPr>
        <w:t>Hilla</w:t>
      </w:r>
      <w:proofErr w:type="spellEnd"/>
      <w:r w:rsidRPr="00861683">
        <w:rPr>
          <w:rFonts w:asciiTheme="majorBidi" w:hAnsiTheme="majorBidi" w:cstheme="majorBidi"/>
          <w:sz w:val="24"/>
          <w:szCs w:val="24"/>
          <w:lang w:bidi="ar-IQ"/>
        </w:rPr>
        <w:t xml:space="preserve"> – </w:t>
      </w:r>
      <w:proofErr w:type="spellStart"/>
      <w:r w:rsidRPr="00861683">
        <w:rPr>
          <w:rFonts w:asciiTheme="majorBidi" w:hAnsiTheme="majorBidi" w:cstheme="majorBidi"/>
          <w:sz w:val="24"/>
          <w:szCs w:val="24"/>
          <w:lang w:bidi="ar-IQ"/>
        </w:rPr>
        <w:t>Babil</w:t>
      </w:r>
      <w:proofErr w:type="spellEnd"/>
      <w:r w:rsidRPr="00861683">
        <w:rPr>
          <w:rFonts w:asciiTheme="majorBidi" w:hAnsiTheme="majorBidi" w:cstheme="majorBidi"/>
          <w:sz w:val="24"/>
          <w:szCs w:val="24"/>
          <w:lang w:bidi="ar-IQ"/>
        </w:rPr>
        <w:t xml:space="preserve"> province in the period between May 2010 to June 2011. Laboratory criteria for diagnosis </w:t>
      </w:r>
      <w:fldSimple w:instr=" REF _Ref337286645 \r \h  \* MERGEFORMAT ">
        <w:r w:rsidR="00756FFD" w:rsidRPr="00861683">
          <w:rPr>
            <w:rFonts w:asciiTheme="majorBidi" w:hAnsiTheme="majorBidi" w:cstheme="majorBidi"/>
            <w:sz w:val="24"/>
            <w:szCs w:val="24"/>
            <w:lang w:bidi="ar-IQ"/>
          </w:rPr>
          <w:t>[7]</w:t>
        </w:r>
      </w:fldSimple>
      <w:r w:rsidRPr="00861683">
        <w:rPr>
          <w:rFonts w:asciiTheme="majorBidi" w:hAnsiTheme="majorBidi" w:cstheme="majorBidi"/>
          <w:sz w:val="24"/>
          <w:szCs w:val="24"/>
          <w:lang w:bidi="ar-IQ"/>
        </w:rPr>
        <w:t xml:space="preserve"> were </w:t>
      </w:r>
      <w:r w:rsidR="005A3C88" w:rsidRPr="00861683">
        <w:rPr>
          <w:rFonts w:asciiTheme="majorBidi" w:hAnsiTheme="majorBidi" w:cstheme="majorBidi"/>
          <w:sz w:val="24"/>
          <w:szCs w:val="24"/>
          <w:lang w:bidi="ar-IQ"/>
        </w:rPr>
        <w:t xml:space="preserve">include </w:t>
      </w:r>
      <w:r w:rsidRPr="00861683">
        <w:rPr>
          <w:rFonts w:asciiTheme="majorBidi" w:hAnsiTheme="majorBidi" w:cstheme="majorBidi"/>
          <w:sz w:val="24"/>
          <w:szCs w:val="24"/>
          <w:lang w:bidi="ar-IQ"/>
        </w:rPr>
        <w:t xml:space="preserve">the Isolation of </w:t>
      </w:r>
      <w:r w:rsidRPr="00861683">
        <w:rPr>
          <w:rFonts w:asciiTheme="majorBidi" w:hAnsiTheme="majorBidi" w:cstheme="majorBidi"/>
          <w:i/>
          <w:iCs/>
          <w:sz w:val="24"/>
          <w:szCs w:val="24"/>
          <w:lang w:bidi="ar-IQ"/>
        </w:rPr>
        <w:t xml:space="preserve">M. tuberculosis </w:t>
      </w:r>
      <w:r w:rsidRPr="00861683">
        <w:rPr>
          <w:rFonts w:asciiTheme="majorBidi" w:hAnsiTheme="majorBidi" w:cstheme="majorBidi"/>
          <w:sz w:val="24"/>
          <w:szCs w:val="24"/>
          <w:lang w:bidi="ar-IQ"/>
        </w:rPr>
        <w:t xml:space="preserve">from a clinical specimen or Demonstration of </w:t>
      </w:r>
      <w:r w:rsidRPr="00861683">
        <w:rPr>
          <w:rFonts w:asciiTheme="majorBidi" w:hAnsiTheme="majorBidi" w:cstheme="majorBidi"/>
          <w:i/>
          <w:iCs/>
          <w:sz w:val="24"/>
          <w:szCs w:val="24"/>
          <w:lang w:bidi="ar-IQ"/>
        </w:rPr>
        <w:t xml:space="preserve">M. tuberculosis </w:t>
      </w:r>
      <w:r w:rsidRPr="00861683">
        <w:rPr>
          <w:rFonts w:asciiTheme="majorBidi" w:hAnsiTheme="majorBidi" w:cstheme="majorBidi"/>
          <w:sz w:val="24"/>
          <w:szCs w:val="24"/>
          <w:lang w:bidi="ar-IQ"/>
        </w:rPr>
        <w:t xml:space="preserve">complex from a clinical specimen by nucleic acid amplification test or Demonstration of acid-fast bacilli in a clinical specimen when a culture has not been or cannot be obtained or is falsely negative or contaminated. The inclusion criteria used in this study was that all the TB cases must meet the clinical diagnosis criteria and confirmed by at least one of the laboratory diagnosis tests (Smear, PCR and culture). The  clinical  diagnosis were conducted by the specialists in the consultant clinic for respiratory diseases. </w:t>
      </w:r>
    </w:p>
    <w:p w:rsidR="000312AC" w:rsidRPr="00861683" w:rsidRDefault="000312AC" w:rsidP="00010023">
      <w:pPr>
        <w:spacing w:after="0" w:line="240" w:lineRule="auto"/>
        <w:ind w:firstLine="426"/>
        <w:jc w:val="both"/>
        <w:rPr>
          <w:rFonts w:asciiTheme="majorBidi" w:hAnsiTheme="majorBidi" w:cstheme="majorBidi"/>
          <w:sz w:val="24"/>
          <w:szCs w:val="24"/>
          <w:lang w:bidi="ar-IQ"/>
        </w:rPr>
      </w:pPr>
      <w:r w:rsidRPr="00861683">
        <w:rPr>
          <w:rFonts w:asciiTheme="majorBidi" w:hAnsiTheme="majorBidi" w:cstheme="majorBidi"/>
          <w:sz w:val="24"/>
          <w:szCs w:val="24"/>
          <w:lang w:bidi="ar-IQ"/>
        </w:rPr>
        <w:t xml:space="preserve">Out of the 136 TB patients, there were 76 male  and 60 female. The patients age range was from 12 to 80 years (the mean 38.7 years , median 34.5 years). Of the 124 TB patients, 100 (80.6%) were attended as a new TB patients. The remaining 24 (19.4%) patients were attended to follow-up </w:t>
      </w:r>
      <w:r w:rsidRPr="00861683">
        <w:rPr>
          <w:rFonts w:asciiTheme="majorBidi" w:hAnsiTheme="majorBidi" w:cstheme="majorBidi"/>
          <w:sz w:val="24"/>
          <w:szCs w:val="24"/>
          <w:lang w:bidi="ar-IQ"/>
        </w:rPr>
        <w:lastRenderedPageBreak/>
        <w:t xml:space="preserve">evaluation of the DOT (Directly observed treatment) program. All </w:t>
      </w:r>
      <w:proofErr w:type="spellStart"/>
      <w:r w:rsidRPr="00861683">
        <w:rPr>
          <w:rFonts w:asciiTheme="majorBidi" w:hAnsiTheme="majorBidi" w:cstheme="majorBidi"/>
          <w:sz w:val="24"/>
          <w:szCs w:val="24"/>
          <w:lang w:bidi="ar-IQ"/>
        </w:rPr>
        <w:t>extrapulmonary</w:t>
      </w:r>
      <w:proofErr w:type="spellEnd"/>
      <w:r w:rsidRPr="00861683">
        <w:rPr>
          <w:rFonts w:asciiTheme="majorBidi" w:hAnsiTheme="majorBidi" w:cstheme="majorBidi"/>
          <w:sz w:val="24"/>
          <w:szCs w:val="24"/>
          <w:lang w:bidi="ar-IQ"/>
        </w:rPr>
        <w:t xml:space="preserve"> patients were attended as new TB cases. The </w:t>
      </w:r>
      <w:proofErr w:type="spellStart"/>
      <w:r w:rsidRPr="00861683">
        <w:rPr>
          <w:rFonts w:asciiTheme="majorBidi" w:hAnsiTheme="majorBidi" w:cstheme="majorBidi"/>
          <w:sz w:val="24"/>
          <w:szCs w:val="24"/>
          <w:lang w:bidi="ar-IQ"/>
        </w:rPr>
        <w:t>extrapulmonary</w:t>
      </w:r>
      <w:proofErr w:type="spellEnd"/>
      <w:r w:rsidRPr="00861683">
        <w:rPr>
          <w:rFonts w:asciiTheme="majorBidi" w:hAnsiTheme="majorBidi" w:cstheme="majorBidi"/>
          <w:sz w:val="24"/>
          <w:szCs w:val="24"/>
          <w:lang w:bidi="ar-IQ"/>
        </w:rPr>
        <w:t xml:space="preserve"> TB cases were diagnosed by AFB smear of tissue biopsy. </w:t>
      </w:r>
    </w:p>
    <w:p w:rsidR="000312AC" w:rsidRPr="00861683" w:rsidRDefault="000312AC" w:rsidP="00010023">
      <w:pPr>
        <w:spacing w:after="0" w:line="240" w:lineRule="auto"/>
        <w:ind w:firstLine="360"/>
        <w:jc w:val="both"/>
        <w:rPr>
          <w:rFonts w:asciiTheme="majorBidi" w:hAnsiTheme="majorBidi" w:cstheme="majorBidi"/>
          <w:sz w:val="24"/>
          <w:szCs w:val="24"/>
          <w:lang w:bidi="ar-IQ"/>
        </w:rPr>
      </w:pPr>
      <w:r w:rsidRPr="00861683">
        <w:rPr>
          <w:rFonts w:asciiTheme="majorBidi" w:hAnsiTheme="majorBidi" w:cstheme="majorBidi"/>
          <w:sz w:val="24"/>
          <w:szCs w:val="24"/>
          <w:lang w:bidi="ar-IQ"/>
        </w:rPr>
        <w:t xml:space="preserve">The control specimens were collected from 102 healthy subjects. From those subjects there were 35 health care workers who works at the subjects from consultant clinic for respiratory diseases in </w:t>
      </w:r>
      <w:proofErr w:type="spellStart"/>
      <w:r w:rsidRPr="00861683">
        <w:rPr>
          <w:rFonts w:asciiTheme="majorBidi" w:hAnsiTheme="majorBidi" w:cstheme="majorBidi"/>
          <w:sz w:val="24"/>
          <w:szCs w:val="24"/>
          <w:lang w:bidi="ar-IQ"/>
        </w:rPr>
        <w:t>Hilla</w:t>
      </w:r>
      <w:proofErr w:type="spellEnd"/>
      <w:r w:rsidRPr="00861683">
        <w:rPr>
          <w:rFonts w:asciiTheme="majorBidi" w:hAnsiTheme="majorBidi" w:cstheme="majorBidi"/>
          <w:sz w:val="24"/>
          <w:szCs w:val="24"/>
          <w:lang w:bidi="ar-IQ"/>
        </w:rPr>
        <w:t xml:space="preserve"> city – Babylon , Iraq. The rest 67 control samples were obtained from non-relative healthy contacts (patients non-relative spouses).  The control samples included 128 whole blood samples in addition to 102  sputum samples. 26 control subjects didn't provide a sputum sample and so they excluded from the study.</w:t>
      </w:r>
    </w:p>
    <w:p w:rsidR="000312AC" w:rsidRPr="006510C7" w:rsidRDefault="003579E7" w:rsidP="00010023">
      <w:pPr>
        <w:spacing w:after="0" w:line="240" w:lineRule="auto"/>
        <w:jc w:val="both"/>
        <w:rPr>
          <w:rFonts w:asciiTheme="majorBidi" w:hAnsiTheme="majorBidi" w:cstheme="majorBidi"/>
          <w:b/>
          <w:bCs/>
          <w:sz w:val="24"/>
          <w:szCs w:val="24"/>
          <w:lang w:bidi="ar-IQ"/>
        </w:rPr>
      </w:pPr>
      <w:r w:rsidRPr="006510C7">
        <w:rPr>
          <w:rFonts w:asciiTheme="majorBidi" w:hAnsiTheme="majorBidi" w:cstheme="majorBidi"/>
          <w:b/>
          <w:bCs/>
          <w:sz w:val="24"/>
          <w:szCs w:val="24"/>
          <w:lang w:bidi="ar-IQ"/>
        </w:rPr>
        <w:t xml:space="preserve">Samples Preparation </w:t>
      </w:r>
    </w:p>
    <w:p w:rsidR="000312AC" w:rsidRPr="00861683" w:rsidRDefault="000312AC" w:rsidP="00010023">
      <w:pPr>
        <w:spacing w:after="0" w:line="240" w:lineRule="auto"/>
        <w:ind w:firstLine="360"/>
        <w:jc w:val="both"/>
        <w:rPr>
          <w:rFonts w:asciiTheme="majorBidi" w:hAnsiTheme="majorBidi" w:cstheme="majorBidi"/>
          <w:sz w:val="24"/>
          <w:szCs w:val="24"/>
          <w:lang w:bidi="ar-IQ"/>
        </w:rPr>
      </w:pPr>
      <w:r w:rsidRPr="00861683">
        <w:rPr>
          <w:rFonts w:asciiTheme="majorBidi" w:hAnsiTheme="majorBidi" w:cstheme="majorBidi"/>
          <w:sz w:val="24"/>
          <w:szCs w:val="24"/>
          <w:lang w:bidi="ar-IQ"/>
        </w:rPr>
        <w:t>Two sputum specimens in two days (one sample each day) were obtained from all suspected TB patients. The sputum was collected early morning before the patient has eaten. In addition to that one sputum specimen was obtained from each control subject. All sputum samples were processed by the standard N-acetyl-L-cysteine–sodium hydroxide (NACL-</w:t>
      </w:r>
      <w:proofErr w:type="spellStart"/>
      <w:r w:rsidRPr="00861683">
        <w:rPr>
          <w:rFonts w:asciiTheme="majorBidi" w:hAnsiTheme="majorBidi" w:cstheme="majorBidi"/>
          <w:sz w:val="24"/>
          <w:szCs w:val="24"/>
          <w:lang w:bidi="ar-IQ"/>
        </w:rPr>
        <w:t>NaOH</w:t>
      </w:r>
      <w:proofErr w:type="spellEnd"/>
      <w:r w:rsidRPr="00861683">
        <w:rPr>
          <w:rFonts w:asciiTheme="majorBidi" w:hAnsiTheme="majorBidi" w:cstheme="majorBidi"/>
          <w:sz w:val="24"/>
          <w:szCs w:val="24"/>
          <w:lang w:bidi="ar-IQ"/>
        </w:rPr>
        <w:t xml:space="preserve">) method </w:t>
      </w:r>
      <w:r w:rsidR="00061D14" w:rsidRPr="00861683">
        <w:rPr>
          <w:rFonts w:asciiTheme="majorBidi" w:hAnsiTheme="majorBidi" w:cstheme="majorBidi"/>
          <w:sz w:val="24"/>
          <w:szCs w:val="24"/>
        </w:rPr>
        <w:fldChar w:fldCharType="begin"/>
      </w:r>
      <w:r w:rsidR="0015764B" w:rsidRPr="00861683">
        <w:rPr>
          <w:rFonts w:asciiTheme="majorBidi" w:hAnsiTheme="majorBidi" w:cstheme="majorBidi"/>
          <w:sz w:val="24"/>
          <w:szCs w:val="24"/>
        </w:rPr>
        <w:instrText xml:space="preserve"> REF _Ref337286660 \r \h  \* MERGEFORMAT </w:instrText>
      </w:r>
      <w:r w:rsidR="00061D14" w:rsidRPr="00861683">
        <w:rPr>
          <w:rFonts w:asciiTheme="majorBidi" w:hAnsiTheme="majorBidi" w:cstheme="majorBidi"/>
          <w:sz w:val="24"/>
          <w:szCs w:val="24"/>
        </w:rPr>
      </w:r>
      <w:r w:rsidR="00061D14" w:rsidRPr="00861683">
        <w:rPr>
          <w:rFonts w:asciiTheme="majorBidi" w:hAnsiTheme="majorBidi" w:cstheme="majorBidi"/>
          <w:sz w:val="24"/>
          <w:szCs w:val="24"/>
        </w:rPr>
        <w:fldChar w:fldCharType="separate"/>
      </w:r>
      <w:proofErr w:type="spellStart"/>
      <w:r w:rsidR="00756FFD" w:rsidRPr="00861683">
        <w:rPr>
          <w:rFonts w:asciiTheme="majorBidi" w:hAnsiTheme="majorBidi" w:cstheme="majorBidi"/>
          <w:sz w:val="24"/>
          <w:szCs w:val="24"/>
          <w:cs/>
          <w:lang w:bidi="ar-IQ"/>
        </w:rPr>
        <w:t>‎</w:t>
      </w:r>
      <w:proofErr w:type="spellEnd"/>
      <w:r w:rsidR="00756FFD" w:rsidRPr="00861683">
        <w:rPr>
          <w:rFonts w:asciiTheme="majorBidi" w:hAnsiTheme="majorBidi" w:cstheme="majorBidi"/>
          <w:sz w:val="24"/>
          <w:szCs w:val="24"/>
          <w:lang w:bidi="ar-IQ"/>
        </w:rPr>
        <w:t>[8]</w:t>
      </w:r>
      <w:r w:rsidR="00061D14" w:rsidRPr="00861683">
        <w:rPr>
          <w:rFonts w:asciiTheme="majorBidi" w:hAnsiTheme="majorBidi" w:cstheme="majorBidi"/>
          <w:sz w:val="24"/>
          <w:szCs w:val="24"/>
        </w:rPr>
        <w:fldChar w:fldCharType="end"/>
      </w:r>
      <w:r w:rsidRPr="00861683">
        <w:rPr>
          <w:rFonts w:asciiTheme="majorBidi" w:hAnsiTheme="majorBidi" w:cstheme="majorBidi"/>
          <w:sz w:val="24"/>
          <w:szCs w:val="24"/>
          <w:lang w:bidi="ar-IQ"/>
        </w:rPr>
        <w:t>.</w:t>
      </w:r>
    </w:p>
    <w:p w:rsidR="000312AC" w:rsidRPr="00861683" w:rsidRDefault="003579E7" w:rsidP="00010023">
      <w:pPr>
        <w:spacing w:after="0" w:line="240" w:lineRule="auto"/>
        <w:jc w:val="both"/>
        <w:rPr>
          <w:rFonts w:asciiTheme="majorBidi" w:hAnsiTheme="majorBidi" w:cstheme="majorBidi"/>
          <w:sz w:val="24"/>
          <w:szCs w:val="24"/>
          <w:lang w:bidi="ar-IQ"/>
        </w:rPr>
      </w:pPr>
      <w:r w:rsidRPr="00861683">
        <w:rPr>
          <w:rFonts w:asciiTheme="majorBidi" w:hAnsiTheme="majorBidi" w:cstheme="majorBidi"/>
          <w:sz w:val="24"/>
          <w:szCs w:val="24"/>
          <w:lang w:bidi="ar-IQ"/>
        </w:rPr>
        <w:t xml:space="preserve">Bacteriological Diagnosis </w:t>
      </w:r>
    </w:p>
    <w:p w:rsidR="000312AC" w:rsidRPr="00861683" w:rsidRDefault="000312AC" w:rsidP="00010023">
      <w:pPr>
        <w:spacing w:after="0" w:line="240" w:lineRule="auto"/>
        <w:ind w:firstLine="426"/>
        <w:jc w:val="both"/>
        <w:rPr>
          <w:rFonts w:asciiTheme="majorBidi" w:hAnsiTheme="majorBidi" w:cstheme="majorBidi"/>
          <w:sz w:val="24"/>
          <w:szCs w:val="24"/>
          <w:lang w:bidi="ar-IQ"/>
        </w:rPr>
      </w:pPr>
      <w:r w:rsidRPr="00861683">
        <w:rPr>
          <w:rFonts w:asciiTheme="majorBidi" w:hAnsiTheme="majorBidi" w:cstheme="majorBidi"/>
          <w:sz w:val="24"/>
          <w:szCs w:val="24"/>
          <w:lang w:bidi="ar-IQ"/>
        </w:rPr>
        <w:t xml:space="preserve">The smear for acid fast stain was prepared according to WHO guidelines </w:t>
      </w:r>
      <w:r w:rsidR="00061D14" w:rsidRPr="00861683">
        <w:rPr>
          <w:rFonts w:asciiTheme="majorBidi" w:hAnsiTheme="majorBidi" w:cstheme="majorBidi"/>
          <w:sz w:val="24"/>
          <w:szCs w:val="24"/>
        </w:rPr>
        <w:fldChar w:fldCharType="begin"/>
      </w:r>
      <w:r w:rsidR="0015764B" w:rsidRPr="00861683">
        <w:rPr>
          <w:rFonts w:asciiTheme="majorBidi" w:hAnsiTheme="majorBidi" w:cstheme="majorBidi"/>
          <w:sz w:val="24"/>
          <w:szCs w:val="24"/>
        </w:rPr>
        <w:instrText xml:space="preserve"> REF _Ref337286671 \r \h  \* MERGEFORMAT </w:instrText>
      </w:r>
      <w:r w:rsidR="00061D14" w:rsidRPr="00861683">
        <w:rPr>
          <w:rFonts w:asciiTheme="majorBidi" w:hAnsiTheme="majorBidi" w:cstheme="majorBidi"/>
          <w:sz w:val="24"/>
          <w:szCs w:val="24"/>
        </w:rPr>
      </w:r>
      <w:r w:rsidR="00061D14" w:rsidRPr="00861683">
        <w:rPr>
          <w:rFonts w:asciiTheme="majorBidi" w:hAnsiTheme="majorBidi" w:cstheme="majorBidi"/>
          <w:sz w:val="24"/>
          <w:szCs w:val="24"/>
        </w:rPr>
        <w:fldChar w:fldCharType="separate"/>
      </w:r>
      <w:proofErr w:type="spellStart"/>
      <w:r w:rsidR="00756FFD" w:rsidRPr="00861683">
        <w:rPr>
          <w:rFonts w:asciiTheme="majorBidi" w:hAnsiTheme="majorBidi" w:cstheme="majorBidi"/>
          <w:sz w:val="24"/>
          <w:szCs w:val="24"/>
          <w:cs/>
          <w:lang w:bidi="ar-IQ"/>
        </w:rPr>
        <w:t>‎</w:t>
      </w:r>
      <w:proofErr w:type="spellEnd"/>
      <w:r w:rsidR="00756FFD" w:rsidRPr="00861683">
        <w:rPr>
          <w:rFonts w:asciiTheme="majorBidi" w:hAnsiTheme="majorBidi" w:cstheme="majorBidi"/>
          <w:sz w:val="24"/>
          <w:szCs w:val="24"/>
          <w:lang w:bidi="ar-IQ"/>
        </w:rPr>
        <w:t>[9]</w:t>
      </w:r>
      <w:r w:rsidR="00061D14" w:rsidRPr="00861683">
        <w:rPr>
          <w:rFonts w:asciiTheme="majorBidi" w:hAnsiTheme="majorBidi" w:cstheme="majorBidi"/>
          <w:sz w:val="24"/>
          <w:szCs w:val="24"/>
        </w:rPr>
        <w:fldChar w:fldCharType="end"/>
      </w:r>
      <w:r w:rsidRPr="00861683">
        <w:rPr>
          <w:rFonts w:asciiTheme="majorBidi" w:hAnsiTheme="majorBidi" w:cstheme="majorBidi"/>
          <w:sz w:val="24"/>
          <w:szCs w:val="24"/>
          <w:lang w:bidi="ar-IQ"/>
        </w:rPr>
        <w:t xml:space="preserve">. A minimum of 100 fields were examined before the smear is reported as negative. Acid-fast bacilli are approximately 1-10μm long and typically appear as slender, rod-shaped bacilli, but they also may appear curved or bent </w:t>
      </w:r>
      <w:r w:rsidR="00061D14" w:rsidRPr="00861683">
        <w:rPr>
          <w:rFonts w:asciiTheme="majorBidi" w:hAnsiTheme="majorBidi" w:cstheme="majorBidi"/>
          <w:sz w:val="24"/>
          <w:szCs w:val="24"/>
        </w:rPr>
        <w:fldChar w:fldCharType="begin"/>
      </w:r>
      <w:r w:rsidR="0015764B" w:rsidRPr="00861683">
        <w:rPr>
          <w:rFonts w:asciiTheme="majorBidi" w:hAnsiTheme="majorBidi" w:cstheme="majorBidi"/>
          <w:sz w:val="24"/>
          <w:szCs w:val="24"/>
        </w:rPr>
        <w:instrText xml:space="preserve"> REF _Ref337286671 \r \h  \* MERGEFORMAT </w:instrText>
      </w:r>
      <w:r w:rsidR="00061D14" w:rsidRPr="00861683">
        <w:rPr>
          <w:rFonts w:asciiTheme="majorBidi" w:hAnsiTheme="majorBidi" w:cstheme="majorBidi"/>
          <w:sz w:val="24"/>
          <w:szCs w:val="24"/>
        </w:rPr>
      </w:r>
      <w:r w:rsidR="00061D14" w:rsidRPr="00861683">
        <w:rPr>
          <w:rFonts w:asciiTheme="majorBidi" w:hAnsiTheme="majorBidi" w:cstheme="majorBidi"/>
          <w:sz w:val="24"/>
          <w:szCs w:val="24"/>
        </w:rPr>
        <w:fldChar w:fldCharType="separate"/>
      </w:r>
      <w:proofErr w:type="spellStart"/>
      <w:r w:rsidR="00756FFD" w:rsidRPr="00861683">
        <w:rPr>
          <w:rFonts w:asciiTheme="majorBidi" w:hAnsiTheme="majorBidi" w:cstheme="majorBidi"/>
          <w:sz w:val="24"/>
          <w:szCs w:val="24"/>
          <w:cs/>
          <w:lang w:bidi="ar-IQ"/>
        </w:rPr>
        <w:t>‎</w:t>
      </w:r>
      <w:proofErr w:type="spellEnd"/>
      <w:r w:rsidR="00756FFD" w:rsidRPr="00861683">
        <w:rPr>
          <w:rFonts w:asciiTheme="majorBidi" w:hAnsiTheme="majorBidi" w:cstheme="majorBidi"/>
          <w:sz w:val="24"/>
          <w:szCs w:val="24"/>
          <w:lang w:bidi="ar-IQ"/>
        </w:rPr>
        <w:t>[9]</w:t>
      </w:r>
      <w:r w:rsidR="00061D14" w:rsidRPr="00861683">
        <w:rPr>
          <w:rFonts w:asciiTheme="majorBidi" w:hAnsiTheme="majorBidi" w:cstheme="majorBidi"/>
          <w:sz w:val="24"/>
          <w:szCs w:val="24"/>
        </w:rPr>
        <w:fldChar w:fldCharType="end"/>
      </w:r>
      <w:r w:rsidRPr="00861683">
        <w:rPr>
          <w:rFonts w:asciiTheme="majorBidi" w:hAnsiTheme="majorBidi" w:cstheme="majorBidi"/>
          <w:sz w:val="24"/>
          <w:szCs w:val="24"/>
          <w:lang w:bidi="ar-IQ"/>
        </w:rPr>
        <w:t xml:space="preserve">. The recording and reporting of the results was according to the WHO standards </w:t>
      </w:r>
      <w:fldSimple w:instr=" REF _Ref337286671 \r \h  \* MERGEFORMAT ">
        <w:r w:rsidR="00756FFD" w:rsidRPr="00861683">
          <w:rPr>
            <w:rFonts w:asciiTheme="majorBidi" w:hAnsiTheme="majorBidi" w:cstheme="majorBidi"/>
            <w:sz w:val="24"/>
            <w:szCs w:val="24"/>
            <w:lang w:bidi="ar-IQ"/>
          </w:rPr>
          <w:t>[9]</w:t>
        </w:r>
      </w:fldSimple>
      <w:r w:rsidRPr="00861683">
        <w:rPr>
          <w:rFonts w:asciiTheme="majorBidi" w:hAnsiTheme="majorBidi" w:cstheme="majorBidi"/>
          <w:sz w:val="24"/>
          <w:szCs w:val="24"/>
          <w:lang w:bidi="ar-IQ"/>
        </w:rPr>
        <w:t xml:space="preserve">. </w:t>
      </w:r>
    </w:p>
    <w:p w:rsidR="000312AC" w:rsidRPr="00861683" w:rsidRDefault="000312AC" w:rsidP="00010023">
      <w:pPr>
        <w:spacing w:after="0" w:line="240" w:lineRule="auto"/>
        <w:ind w:firstLine="426"/>
        <w:jc w:val="both"/>
        <w:rPr>
          <w:rFonts w:asciiTheme="majorBidi" w:hAnsiTheme="majorBidi" w:cstheme="majorBidi"/>
          <w:sz w:val="24"/>
          <w:szCs w:val="24"/>
          <w:lang w:bidi="ar-IQ"/>
        </w:rPr>
      </w:pPr>
      <w:r w:rsidRPr="00861683">
        <w:rPr>
          <w:rFonts w:asciiTheme="majorBidi" w:hAnsiTheme="majorBidi" w:cstheme="majorBidi"/>
          <w:sz w:val="24"/>
          <w:szCs w:val="24"/>
          <w:lang w:bidi="ar-IQ"/>
        </w:rPr>
        <w:t>After initial decontamination</w:t>
      </w:r>
      <w:r w:rsidR="00010023">
        <w:rPr>
          <w:rFonts w:asciiTheme="majorBidi" w:hAnsiTheme="majorBidi" w:cstheme="majorBidi"/>
          <w:sz w:val="24"/>
          <w:szCs w:val="24"/>
          <w:lang w:bidi="ar-IQ"/>
        </w:rPr>
        <w:t xml:space="preserve"> </w:t>
      </w:r>
      <w:r w:rsidRPr="00861683">
        <w:rPr>
          <w:rFonts w:asciiTheme="majorBidi" w:hAnsiTheme="majorBidi" w:cstheme="majorBidi"/>
          <w:sz w:val="24"/>
          <w:szCs w:val="24"/>
          <w:lang w:bidi="ar-IQ"/>
        </w:rPr>
        <w:t>/</w:t>
      </w:r>
      <w:r w:rsidR="00010023">
        <w:rPr>
          <w:rFonts w:asciiTheme="majorBidi" w:hAnsiTheme="majorBidi" w:cstheme="majorBidi"/>
          <w:sz w:val="24"/>
          <w:szCs w:val="24"/>
          <w:lang w:bidi="ar-IQ"/>
        </w:rPr>
        <w:t xml:space="preserve"> </w:t>
      </w:r>
      <w:r w:rsidRPr="00861683">
        <w:rPr>
          <w:rFonts w:asciiTheme="majorBidi" w:hAnsiTheme="majorBidi" w:cstheme="majorBidi"/>
          <w:sz w:val="24"/>
          <w:szCs w:val="24"/>
          <w:lang w:bidi="ar-IQ"/>
        </w:rPr>
        <w:t>digestion by NACL-</w:t>
      </w:r>
      <w:proofErr w:type="spellStart"/>
      <w:r w:rsidRPr="00861683">
        <w:rPr>
          <w:rFonts w:asciiTheme="majorBidi" w:hAnsiTheme="majorBidi" w:cstheme="majorBidi"/>
          <w:sz w:val="24"/>
          <w:szCs w:val="24"/>
          <w:lang w:bidi="ar-IQ"/>
        </w:rPr>
        <w:t>NaOH</w:t>
      </w:r>
      <w:proofErr w:type="spellEnd"/>
      <w:r w:rsidRPr="00861683">
        <w:rPr>
          <w:rFonts w:asciiTheme="majorBidi" w:hAnsiTheme="majorBidi" w:cstheme="majorBidi"/>
          <w:sz w:val="24"/>
          <w:szCs w:val="24"/>
          <w:lang w:bidi="ar-IQ"/>
        </w:rPr>
        <w:t xml:space="preserve"> method, all sputum samples were cultured on  solid Lowenstein-Jensen (LJ) media and liquid (Dubos broth) medium.  The LJ medium that used in this study was </w:t>
      </w:r>
      <w:r w:rsidRPr="00861683">
        <w:rPr>
          <w:rFonts w:asciiTheme="majorBidi" w:hAnsiTheme="majorBidi" w:cstheme="majorBidi"/>
          <w:sz w:val="24"/>
          <w:szCs w:val="24"/>
          <w:lang w:bidi="ar-IQ"/>
        </w:rPr>
        <w:lastRenderedPageBreak/>
        <w:t xml:space="preserve">provided by </w:t>
      </w:r>
      <w:proofErr w:type="spellStart"/>
      <w:r w:rsidRPr="00861683">
        <w:rPr>
          <w:rFonts w:asciiTheme="majorBidi" w:hAnsiTheme="majorBidi" w:cstheme="majorBidi"/>
          <w:sz w:val="24"/>
          <w:szCs w:val="24"/>
          <w:lang w:bidi="ar-IQ"/>
        </w:rPr>
        <w:t>HiMedia</w:t>
      </w:r>
      <w:proofErr w:type="spellEnd"/>
      <w:r w:rsidRPr="00861683">
        <w:rPr>
          <w:rFonts w:asciiTheme="majorBidi" w:hAnsiTheme="majorBidi" w:cstheme="majorBidi"/>
          <w:sz w:val="24"/>
          <w:szCs w:val="24"/>
          <w:lang w:bidi="ar-IQ"/>
        </w:rPr>
        <w:t xml:space="preserve"> Laboratories, India. In order to reduce contamination of LJ slants with respiratory normal flora, the </w:t>
      </w:r>
      <w:proofErr w:type="spellStart"/>
      <w:r w:rsidRPr="00861683">
        <w:rPr>
          <w:rFonts w:asciiTheme="majorBidi" w:hAnsiTheme="majorBidi" w:cstheme="majorBidi"/>
          <w:sz w:val="24"/>
          <w:szCs w:val="24"/>
          <w:lang w:bidi="ar-IQ"/>
        </w:rPr>
        <w:t>Gruft</w:t>
      </w:r>
      <w:proofErr w:type="spellEnd"/>
      <w:r w:rsidRPr="00861683">
        <w:rPr>
          <w:rFonts w:asciiTheme="majorBidi" w:hAnsiTheme="majorBidi" w:cstheme="majorBidi"/>
          <w:sz w:val="24"/>
          <w:szCs w:val="24"/>
          <w:lang w:bidi="ar-IQ"/>
        </w:rPr>
        <w:t xml:space="preserve"> </w:t>
      </w:r>
      <w:proofErr w:type="spellStart"/>
      <w:r w:rsidRPr="00861683">
        <w:rPr>
          <w:rFonts w:asciiTheme="majorBidi" w:hAnsiTheme="majorBidi" w:cstheme="majorBidi"/>
          <w:sz w:val="24"/>
          <w:szCs w:val="24"/>
          <w:lang w:bidi="ar-IQ"/>
        </w:rPr>
        <w:t>Mycobacterial</w:t>
      </w:r>
      <w:proofErr w:type="spellEnd"/>
      <w:r w:rsidRPr="00861683">
        <w:rPr>
          <w:rFonts w:asciiTheme="majorBidi" w:hAnsiTheme="majorBidi" w:cstheme="majorBidi"/>
          <w:sz w:val="24"/>
          <w:szCs w:val="24"/>
          <w:lang w:bidi="ar-IQ"/>
        </w:rPr>
        <w:t xml:space="preserve"> Supplement (supplied by </w:t>
      </w:r>
      <w:proofErr w:type="spellStart"/>
      <w:r w:rsidRPr="00861683">
        <w:rPr>
          <w:rFonts w:asciiTheme="majorBidi" w:hAnsiTheme="majorBidi" w:cstheme="majorBidi"/>
          <w:sz w:val="24"/>
          <w:szCs w:val="24"/>
          <w:lang w:bidi="ar-IQ"/>
        </w:rPr>
        <w:t>HiMedia</w:t>
      </w:r>
      <w:proofErr w:type="spellEnd"/>
      <w:r w:rsidRPr="00861683">
        <w:rPr>
          <w:rFonts w:asciiTheme="majorBidi" w:hAnsiTheme="majorBidi" w:cstheme="majorBidi"/>
          <w:sz w:val="24"/>
          <w:szCs w:val="24"/>
          <w:lang w:bidi="ar-IQ"/>
        </w:rPr>
        <w:t xml:space="preserve"> Laboratories) was added to LJ slants. This antibiotic and enrichment supplement is recommended for selective cultivation of Mycobacteria </w:t>
      </w:r>
      <w:fldSimple w:instr=" REF _Ref337286660 \r \h  \* MERGEFORMAT ">
        <w:r w:rsidR="00756FFD" w:rsidRPr="00861683">
          <w:rPr>
            <w:rFonts w:asciiTheme="majorBidi" w:hAnsiTheme="majorBidi" w:cstheme="majorBidi"/>
            <w:sz w:val="24"/>
            <w:szCs w:val="24"/>
            <w:lang w:bidi="ar-IQ"/>
          </w:rPr>
          <w:t>[8]</w:t>
        </w:r>
      </w:fldSimple>
      <w:r w:rsidRPr="00861683">
        <w:rPr>
          <w:rFonts w:asciiTheme="majorBidi" w:hAnsiTheme="majorBidi" w:cstheme="majorBidi"/>
          <w:sz w:val="24"/>
          <w:szCs w:val="24"/>
          <w:lang w:bidi="ar-IQ"/>
        </w:rPr>
        <w:t xml:space="preserve">.   </w:t>
      </w:r>
    </w:p>
    <w:p w:rsidR="003579E7" w:rsidRPr="00010023" w:rsidRDefault="000312AC" w:rsidP="00010023">
      <w:pPr>
        <w:spacing w:after="0" w:line="240" w:lineRule="auto"/>
        <w:ind w:firstLine="426"/>
        <w:jc w:val="both"/>
        <w:rPr>
          <w:rFonts w:asciiTheme="majorBidi" w:hAnsiTheme="majorBidi" w:cstheme="majorBidi"/>
          <w:sz w:val="24"/>
          <w:szCs w:val="24"/>
          <w:lang w:bidi="ar-IQ"/>
        </w:rPr>
      </w:pPr>
      <w:r w:rsidRPr="00861683">
        <w:rPr>
          <w:rFonts w:asciiTheme="majorBidi" w:hAnsiTheme="majorBidi" w:cstheme="majorBidi"/>
          <w:sz w:val="24"/>
          <w:szCs w:val="24"/>
          <w:lang w:bidi="ar-IQ"/>
        </w:rPr>
        <w:t xml:space="preserve">The LJ slants and Dubose broth were incubated in 35-37ºC for 10-12 weeks. The cultures were examined weekly for bacterial growth (World Health Organization. 1996). Members of the </w:t>
      </w:r>
      <w:r w:rsidRPr="00861683">
        <w:rPr>
          <w:rFonts w:asciiTheme="majorBidi" w:hAnsiTheme="majorBidi" w:cstheme="majorBidi"/>
          <w:i/>
          <w:iCs/>
          <w:sz w:val="24"/>
          <w:szCs w:val="24"/>
          <w:lang w:bidi="ar-IQ"/>
        </w:rPr>
        <w:t>M. tuberculosis</w:t>
      </w:r>
      <w:r w:rsidRPr="00861683">
        <w:rPr>
          <w:rFonts w:asciiTheme="majorBidi" w:hAnsiTheme="majorBidi" w:cstheme="majorBidi"/>
          <w:sz w:val="24"/>
          <w:szCs w:val="24"/>
          <w:lang w:bidi="ar-IQ"/>
        </w:rPr>
        <w:t xml:space="preserve"> complex do not </w:t>
      </w:r>
      <w:r w:rsidRPr="00010023">
        <w:rPr>
          <w:rFonts w:asciiTheme="majorBidi" w:hAnsiTheme="majorBidi" w:cstheme="majorBidi"/>
          <w:sz w:val="24"/>
          <w:szCs w:val="24"/>
          <w:lang w:bidi="ar-IQ"/>
        </w:rPr>
        <w:t xml:space="preserve">grow within three days at 37ºC. Acid fast stain slides were prepared from positive cultures and the positive acid fast stain cultures were considered as Mycobacterium at genus level </w:t>
      </w:r>
      <w:r w:rsidR="00061D14" w:rsidRPr="00010023">
        <w:rPr>
          <w:rFonts w:asciiTheme="majorBidi" w:hAnsiTheme="majorBidi" w:cstheme="majorBidi"/>
          <w:sz w:val="24"/>
          <w:szCs w:val="24"/>
        </w:rPr>
        <w:fldChar w:fldCharType="begin"/>
      </w:r>
      <w:r w:rsidR="0015764B" w:rsidRPr="00010023">
        <w:rPr>
          <w:rFonts w:asciiTheme="majorBidi" w:hAnsiTheme="majorBidi" w:cstheme="majorBidi"/>
          <w:sz w:val="24"/>
          <w:szCs w:val="24"/>
        </w:rPr>
        <w:instrText xml:space="preserve"> REF _Ref337286728 \r \h  \* MERGEFORMAT </w:instrText>
      </w:r>
      <w:r w:rsidR="00061D14" w:rsidRPr="00010023">
        <w:rPr>
          <w:rFonts w:asciiTheme="majorBidi" w:hAnsiTheme="majorBidi" w:cstheme="majorBidi"/>
          <w:sz w:val="24"/>
          <w:szCs w:val="24"/>
        </w:rPr>
      </w:r>
      <w:r w:rsidR="00061D14" w:rsidRPr="00010023">
        <w:rPr>
          <w:rFonts w:asciiTheme="majorBidi" w:hAnsiTheme="majorBidi" w:cstheme="majorBidi"/>
          <w:sz w:val="24"/>
          <w:szCs w:val="24"/>
        </w:rPr>
        <w:fldChar w:fldCharType="separate"/>
      </w:r>
      <w:proofErr w:type="spellStart"/>
      <w:r w:rsidR="00756FFD" w:rsidRPr="00010023">
        <w:rPr>
          <w:rFonts w:asciiTheme="majorBidi" w:hAnsiTheme="majorBidi" w:cstheme="majorBidi"/>
          <w:sz w:val="24"/>
          <w:szCs w:val="24"/>
          <w:cs/>
          <w:lang w:bidi="ar-IQ"/>
        </w:rPr>
        <w:t>‎</w:t>
      </w:r>
      <w:proofErr w:type="spellEnd"/>
      <w:r w:rsidR="00756FFD" w:rsidRPr="00010023">
        <w:rPr>
          <w:rFonts w:asciiTheme="majorBidi" w:hAnsiTheme="majorBidi" w:cstheme="majorBidi"/>
          <w:sz w:val="24"/>
          <w:szCs w:val="24"/>
          <w:lang w:bidi="ar-IQ"/>
        </w:rPr>
        <w:t>[10]</w:t>
      </w:r>
      <w:r w:rsidR="00061D14" w:rsidRPr="00010023">
        <w:rPr>
          <w:rFonts w:asciiTheme="majorBidi" w:hAnsiTheme="majorBidi" w:cstheme="majorBidi"/>
          <w:sz w:val="24"/>
          <w:szCs w:val="24"/>
        </w:rPr>
        <w:fldChar w:fldCharType="end"/>
      </w:r>
      <w:r w:rsidRPr="00010023">
        <w:rPr>
          <w:rFonts w:asciiTheme="majorBidi" w:hAnsiTheme="majorBidi" w:cstheme="majorBidi"/>
          <w:sz w:val="24"/>
          <w:szCs w:val="24"/>
          <w:lang w:bidi="ar-IQ"/>
        </w:rPr>
        <w:t xml:space="preserve">. </w:t>
      </w:r>
      <w:r w:rsidRPr="00010023">
        <w:rPr>
          <w:rFonts w:asciiTheme="majorBidi" w:hAnsiTheme="majorBidi" w:cstheme="majorBidi"/>
          <w:i/>
          <w:iCs/>
          <w:sz w:val="24"/>
          <w:szCs w:val="24"/>
          <w:lang w:bidi="ar-IQ"/>
        </w:rPr>
        <w:t>M. tuberculosis</w:t>
      </w:r>
      <w:r w:rsidRPr="00010023">
        <w:rPr>
          <w:rFonts w:asciiTheme="majorBidi" w:hAnsiTheme="majorBidi" w:cstheme="majorBidi"/>
          <w:sz w:val="24"/>
          <w:szCs w:val="24"/>
          <w:lang w:bidi="ar-IQ"/>
        </w:rPr>
        <w:t xml:space="preserve"> don't produce any pigment even after exposure to light.   </w:t>
      </w:r>
      <w:r w:rsidRPr="00010023">
        <w:rPr>
          <w:rFonts w:asciiTheme="majorBidi" w:hAnsiTheme="majorBidi" w:cstheme="majorBidi"/>
          <w:i/>
          <w:iCs/>
          <w:sz w:val="24"/>
          <w:szCs w:val="24"/>
          <w:lang w:bidi="ar-IQ"/>
        </w:rPr>
        <w:t>M. tuberculosis</w:t>
      </w:r>
      <w:r w:rsidRPr="00010023">
        <w:rPr>
          <w:rFonts w:asciiTheme="majorBidi" w:hAnsiTheme="majorBidi" w:cstheme="majorBidi"/>
          <w:sz w:val="24"/>
          <w:szCs w:val="24"/>
          <w:lang w:bidi="ar-IQ"/>
        </w:rPr>
        <w:t xml:space="preserve"> light buff color rough colonies while some other members of Mycobacterium  species is capable of producing pigments like yellow or orange on solid media </w:t>
      </w:r>
      <w:fldSimple w:instr=" REF _Ref337286660 \r \h  \* MERGEFORMAT ">
        <w:r w:rsidR="00756FFD" w:rsidRPr="00010023">
          <w:rPr>
            <w:rFonts w:asciiTheme="majorBidi" w:hAnsiTheme="majorBidi" w:cstheme="majorBidi"/>
            <w:sz w:val="24"/>
            <w:szCs w:val="24"/>
            <w:lang w:bidi="ar-IQ"/>
          </w:rPr>
          <w:t>[8]</w:t>
        </w:r>
      </w:fldSimple>
      <w:r w:rsidRPr="00010023">
        <w:rPr>
          <w:rFonts w:asciiTheme="majorBidi" w:hAnsiTheme="majorBidi" w:cstheme="majorBidi"/>
          <w:sz w:val="24"/>
          <w:szCs w:val="24"/>
          <w:lang w:bidi="ar-IQ"/>
        </w:rPr>
        <w:t xml:space="preserve">. The niacin test, </w:t>
      </w:r>
      <w:proofErr w:type="spellStart"/>
      <w:r w:rsidRPr="00010023">
        <w:rPr>
          <w:rFonts w:asciiTheme="majorBidi" w:hAnsiTheme="majorBidi" w:cstheme="majorBidi"/>
          <w:sz w:val="24"/>
          <w:szCs w:val="24"/>
          <w:lang w:bidi="ar-IQ"/>
        </w:rPr>
        <w:t>pyrazinamidase</w:t>
      </w:r>
      <w:proofErr w:type="spellEnd"/>
      <w:r w:rsidRPr="00010023">
        <w:rPr>
          <w:rFonts w:asciiTheme="majorBidi" w:hAnsiTheme="majorBidi" w:cstheme="majorBidi"/>
          <w:sz w:val="24"/>
          <w:szCs w:val="24"/>
          <w:lang w:bidi="ar-IQ"/>
        </w:rPr>
        <w:t xml:space="preserve"> test and nitrate reduction test were performed for all positive cultures in order to identify Mycobacterium tuberculosis at species level. </w:t>
      </w:r>
    </w:p>
    <w:p w:rsidR="000312AC" w:rsidRPr="00010023" w:rsidRDefault="003579E7" w:rsidP="00010023">
      <w:pPr>
        <w:spacing w:after="0" w:line="240" w:lineRule="auto"/>
        <w:jc w:val="both"/>
        <w:rPr>
          <w:rFonts w:asciiTheme="majorBidi" w:hAnsiTheme="majorBidi" w:cstheme="majorBidi"/>
          <w:sz w:val="24"/>
          <w:szCs w:val="24"/>
          <w:lang w:bidi="ar-IQ"/>
        </w:rPr>
      </w:pPr>
      <w:r w:rsidRPr="00010023">
        <w:rPr>
          <w:rFonts w:asciiTheme="majorBidi" w:hAnsiTheme="majorBidi" w:cstheme="majorBidi"/>
          <w:sz w:val="24"/>
          <w:szCs w:val="24"/>
          <w:lang w:bidi="ar-IQ"/>
        </w:rPr>
        <w:t xml:space="preserve">Serological Diagnosis of Tuberculosis by </w:t>
      </w:r>
      <w:proofErr w:type="spellStart"/>
      <w:r w:rsidRPr="00010023">
        <w:rPr>
          <w:rFonts w:asciiTheme="majorBidi" w:hAnsiTheme="majorBidi" w:cstheme="majorBidi"/>
          <w:sz w:val="24"/>
          <w:szCs w:val="24"/>
          <w:lang w:bidi="ar-IQ"/>
        </w:rPr>
        <w:t>Immunochromatography</w:t>
      </w:r>
      <w:proofErr w:type="spellEnd"/>
      <w:r w:rsidRPr="00010023">
        <w:rPr>
          <w:rFonts w:asciiTheme="majorBidi" w:hAnsiTheme="majorBidi" w:cstheme="majorBidi"/>
          <w:sz w:val="24"/>
          <w:szCs w:val="24"/>
          <w:lang w:bidi="ar-IQ"/>
        </w:rPr>
        <w:t xml:space="preserve"> (ICG) Assay</w:t>
      </w:r>
      <w:r w:rsidR="00F86933">
        <w:rPr>
          <w:rFonts w:asciiTheme="majorBidi" w:hAnsiTheme="majorBidi" w:cstheme="majorBidi"/>
          <w:sz w:val="24"/>
          <w:szCs w:val="24"/>
          <w:lang w:bidi="ar-IQ"/>
        </w:rPr>
        <w:t>.</w:t>
      </w:r>
    </w:p>
    <w:p w:rsidR="003579E7" w:rsidRPr="00010023" w:rsidRDefault="000312AC" w:rsidP="00010023">
      <w:pPr>
        <w:spacing w:after="0" w:line="240" w:lineRule="auto"/>
        <w:ind w:firstLine="426"/>
        <w:jc w:val="both"/>
        <w:rPr>
          <w:rFonts w:asciiTheme="majorBidi" w:hAnsiTheme="majorBidi" w:cstheme="majorBidi"/>
          <w:sz w:val="24"/>
          <w:szCs w:val="24"/>
          <w:lang w:bidi="ar-IQ"/>
        </w:rPr>
      </w:pPr>
      <w:r w:rsidRPr="00010023">
        <w:rPr>
          <w:rFonts w:asciiTheme="majorBidi" w:hAnsiTheme="majorBidi" w:cstheme="majorBidi"/>
          <w:sz w:val="24"/>
          <w:szCs w:val="24"/>
          <w:lang w:bidi="ar-IQ"/>
        </w:rPr>
        <w:t>The anti-TB antibodies (</w:t>
      </w:r>
      <w:proofErr w:type="spellStart"/>
      <w:r w:rsidRPr="00010023">
        <w:rPr>
          <w:rFonts w:asciiTheme="majorBidi" w:hAnsiTheme="majorBidi" w:cstheme="majorBidi"/>
          <w:sz w:val="24"/>
          <w:szCs w:val="24"/>
          <w:lang w:bidi="ar-IQ"/>
        </w:rPr>
        <w:t>IgG</w:t>
      </w:r>
      <w:proofErr w:type="spellEnd"/>
      <w:r w:rsidRPr="00010023">
        <w:rPr>
          <w:rFonts w:asciiTheme="majorBidi" w:hAnsiTheme="majorBidi" w:cstheme="majorBidi"/>
          <w:sz w:val="24"/>
          <w:szCs w:val="24"/>
          <w:lang w:bidi="ar-IQ"/>
        </w:rPr>
        <w:t xml:space="preserve">, </w:t>
      </w:r>
      <w:proofErr w:type="spellStart"/>
      <w:r w:rsidRPr="00010023">
        <w:rPr>
          <w:rFonts w:asciiTheme="majorBidi" w:hAnsiTheme="majorBidi" w:cstheme="majorBidi"/>
          <w:sz w:val="24"/>
          <w:szCs w:val="24"/>
          <w:lang w:bidi="ar-IQ"/>
        </w:rPr>
        <w:t>IgM</w:t>
      </w:r>
      <w:proofErr w:type="spellEnd"/>
      <w:r w:rsidRPr="00010023">
        <w:rPr>
          <w:rFonts w:asciiTheme="majorBidi" w:hAnsiTheme="majorBidi" w:cstheme="majorBidi"/>
          <w:sz w:val="24"/>
          <w:szCs w:val="24"/>
          <w:lang w:bidi="ar-IQ"/>
        </w:rPr>
        <w:t xml:space="preserve">, IgA) in serum samples of both PTB cases and controls were detected by using Tuberculosis Rapid Test Device provided by </w:t>
      </w:r>
      <w:proofErr w:type="spellStart"/>
      <w:r w:rsidRPr="00010023">
        <w:rPr>
          <w:rFonts w:asciiTheme="majorBidi" w:hAnsiTheme="majorBidi" w:cstheme="majorBidi"/>
          <w:sz w:val="24"/>
          <w:szCs w:val="24"/>
          <w:lang w:bidi="ar-IQ"/>
        </w:rPr>
        <w:t>Acon</w:t>
      </w:r>
      <w:proofErr w:type="spellEnd"/>
      <w:r w:rsidRPr="00010023">
        <w:rPr>
          <w:rFonts w:asciiTheme="majorBidi" w:hAnsiTheme="majorBidi" w:cstheme="majorBidi"/>
          <w:sz w:val="24"/>
          <w:szCs w:val="24"/>
          <w:lang w:bidi="ar-IQ"/>
        </w:rPr>
        <w:t>, USA. The ICG assay uses a double antigens “sandwich principle” for the detection of Tuberculosis antibody in human whole blood, serum or plasma. Two recombinant Tuberculosis antigens (TB Ag 1</w:t>
      </w:r>
      <w:r w:rsidR="003579E7" w:rsidRPr="00010023">
        <w:rPr>
          <w:rFonts w:asciiTheme="majorBidi" w:hAnsiTheme="majorBidi" w:cstheme="majorBidi"/>
          <w:sz w:val="24"/>
          <w:szCs w:val="24"/>
          <w:lang w:bidi="ar-IQ"/>
        </w:rPr>
        <w:t xml:space="preserve">and </w:t>
      </w:r>
      <w:r w:rsidRPr="00010023">
        <w:rPr>
          <w:rFonts w:asciiTheme="majorBidi" w:hAnsiTheme="majorBidi" w:cstheme="majorBidi"/>
          <w:sz w:val="24"/>
          <w:szCs w:val="24"/>
          <w:lang w:bidi="ar-IQ"/>
        </w:rPr>
        <w:t xml:space="preserve">2) were mixed and immobilized on the test band region, and an antibody to M. tuberculosis on the control band region of </w:t>
      </w:r>
      <w:r w:rsidRPr="00010023">
        <w:rPr>
          <w:rFonts w:asciiTheme="majorBidi" w:hAnsiTheme="majorBidi" w:cstheme="majorBidi"/>
          <w:sz w:val="24"/>
          <w:szCs w:val="24"/>
          <w:lang w:bidi="ar-IQ"/>
        </w:rPr>
        <w:lastRenderedPageBreak/>
        <w:t xml:space="preserve">nitrocellulose membrane. Another Tuberculosis antigen (TB Ag 3), coupled with colloidal gold particles, is dried on a conjugate pad. During the assay, the specimen is allowed to react with the colored conjugate (antigen-colloid gold conjugate); the mixture then migrates chromatographically along the membrane by capillary action. If the specimen contains anti- </w:t>
      </w:r>
      <w:r w:rsidRPr="00010023">
        <w:rPr>
          <w:rFonts w:asciiTheme="majorBidi" w:hAnsiTheme="majorBidi" w:cstheme="majorBidi"/>
          <w:i/>
          <w:iCs/>
          <w:sz w:val="24"/>
          <w:szCs w:val="24"/>
          <w:lang w:bidi="ar-IQ"/>
        </w:rPr>
        <w:t>M. tuberculosis</w:t>
      </w:r>
      <w:r w:rsidRPr="00010023">
        <w:rPr>
          <w:rFonts w:asciiTheme="majorBidi" w:hAnsiTheme="majorBidi" w:cstheme="majorBidi"/>
          <w:sz w:val="24"/>
          <w:szCs w:val="24"/>
          <w:lang w:bidi="ar-IQ"/>
        </w:rPr>
        <w:t xml:space="preserve"> antibody, the recombinant antigen immobilized on the membrane will capture the antibody-antigen-colloidal gold complex and form a colored test band on the membrane, indicating a positive result. Absence of the test band suggests a negative result. To serve as a procedural control, a colored band at control region always appears in the test area.</w:t>
      </w:r>
    </w:p>
    <w:p w:rsidR="000312AC" w:rsidRPr="00010023" w:rsidRDefault="003579E7" w:rsidP="00010023">
      <w:pPr>
        <w:spacing w:after="0" w:line="240" w:lineRule="auto"/>
        <w:jc w:val="both"/>
        <w:rPr>
          <w:rFonts w:asciiTheme="majorBidi" w:hAnsiTheme="majorBidi" w:cstheme="majorBidi"/>
          <w:sz w:val="24"/>
          <w:szCs w:val="24"/>
          <w:lang w:bidi="ar-IQ"/>
        </w:rPr>
      </w:pPr>
      <w:r w:rsidRPr="00010023">
        <w:rPr>
          <w:rFonts w:asciiTheme="majorBidi" w:hAnsiTheme="majorBidi" w:cstheme="majorBidi"/>
          <w:sz w:val="24"/>
          <w:szCs w:val="24"/>
          <w:lang w:bidi="ar-IQ"/>
        </w:rPr>
        <w:t>Direct Molecular Detection and Identification of Mycobacteria</w:t>
      </w:r>
    </w:p>
    <w:p w:rsidR="000312AC" w:rsidRPr="00010023" w:rsidRDefault="000312AC" w:rsidP="00010023">
      <w:pPr>
        <w:spacing w:after="0" w:line="240" w:lineRule="auto"/>
        <w:ind w:firstLine="426"/>
        <w:jc w:val="both"/>
        <w:rPr>
          <w:rFonts w:asciiTheme="majorBidi" w:hAnsiTheme="majorBidi" w:cstheme="majorBidi"/>
          <w:sz w:val="24"/>
          <w:szCs w:val="24"/>
          <w:lang w:bidi="ar-IQ"/>
        </w:rPr>
      </w:pPr>
      <w:r w:rsidRPr="00010023">
        <w:rPr>
          <w:rFonts w:asciiTheme="majorBidi" w:hAnsiTheme="majorBidi" w:cstheme="majorBidi"/>
          <w:sz w:val="24"/>
          <w:szCs w:val="24"/>
          <w:lang w:bidi="ar-IQ"/>
        </w:rPr>
        <w:t xml:space="preserve">The mycobacterial DNA was extracted from sputum samples by using DNA extraction kit (DNA-Sorb-B DNA extraction kit) provided by </w:t>
      </w:r>
      <w:proofErr w:type="spellStart"/>
      <w:r w:rsidRPr="00010023">
        <w:rPr>
          <w:rFonts w:asciiTheme="majorBidi" w:hAnsiTheme="majorBidi" w:cstheme="majorBidi"/>
          <w:sz w:val="24"/>
          <w:szCs w:val="24"/>
          <w:lang w:bidi="ar-IQ"/>
        </w:rPr>
        <w:t>Sacace</w:t>
      </w:r>
      <w:proofErr w:type="spellEnd"/>
      <w:r w:rsidRPr="00010023">
        <w:rPr>
          <w:rFonts w:asciiTheme="majorBidi" w:hAnsiTheme="majorBidi" w:cstheme="majorBidi"/>
          <w:sz w:val="24"/>
          <w:szCs w:val="24"/>
          <w:lang w:bidi="ar-IQ"/>
        </w:rPr>
        <w:t xml:space="preserve"> Biotechnologies-Italy. All sputum samples were digested and decontaminated by the standard NACL-</w:t>
      </w:r>
      <w:proofErr w:type="spellStart"/>
      <w:r w:rsidRPr="00010023">
        <w:rPr>
          <w:rFonts w:asciiTheme="majorBidi" w:hAnsiTheme="majorBidi" w:cstheme="majorBidi"/>
          <w:sz w:val="24"/>
          <w:szCs w:val="24"/>
          <w:lang w:bidi="ar-IQ"/>
        </w:rPr>
        <w:t>NaOH</w:t>
      </w:r>
      <w:proofErr w:type="spellEnd"/>
      <w:r w:rsidRPr="00010023">
        <w:rPr>
          <w:rFonts w:asciiTheme="majorBidi" w:hAnsiTheme="majorBidi" w:cstheme="majorBidi"/>
          <w:sz w:val="24"/>
          <w:szCs w:val="24"/>
          <w:lang w:bidi="ar-IQ"/>
        </w:rPr>
        <w:t xml:space="preserve"> method. The mycobacterial DNA was extracted according to the manufacturer instructions. </w:t>
      </w:r>
    </w:p>
    <w:p w:rsidR="003579E7" w:rsidRPr="00010023" w:rsidRDefault="000312AC" w:rsidP="00010023">
      <w:pPr>
        <w:spacing w:after="0" w:line="240" w:lineRule="auto"/>
        <w:ind w:firstLine="426"/>
        <w:jc w:val="both"/>
        <w:rPr>
          <w:rFonts w:asciiTheme="majorBidi" w:hAnsiTheme="majorBidi" w:cstheme="majorBidi"/>
          <w:sz w:val="24"/>
          <w:szCs w:val="24"/>
          <w:lang w:bidi="ar-IQ"/>
        </w:rPr>
      </w:pPr>
      <w:r w:rsidRPr="00010023">
        <w:rPr>
          <w:rFonts w:asciiTheme="majorBidi" w:hAnsiTheme="majorBidi" w:cstheme="majorBidi"/>
          <w:sz w:val="24"/>
          <w:szCs w:val="24"/>
          <w:lang w:bidi="ar-IQ"/>
        </w:rPr>
        <w:t xml:space="preserve">The real-time PCR (RT-PCR) technique was used in this study for direct molecular diagnosis of tuberculosis infection in subjects included in this  study. </w:t>
      </w:r>
      <w:proofErr w:type="spellStart"/>
      <w:r w:rsidRPr="00010023">
        <w:rPr>
          <w:rFonts w:asciiTheme="majorBidi" w:hAnsiTheme="majorBidi" w:cstheme="majorBidi"/>
          <w:sz w:val="24"/>
          <w:szCs w:val="24"/>
          <w:lang w:bidi="ar-IQ"/>
        </w:rPr>
        <w:t>AccuPower</w:t>
      </w:r>
      <w:proofErr w:type="spellEnd"/>
      <w:r w:rsidRPr="00010023">
        <w:rPr>
          <w:rFonts w:asciiTheme="majorBidi" w:hAnsiTheme="majorBidi" w:cstheme="majorBidi"/>
          <w:sz w:val="24"/>
          <w:szCs w:val="24"/>
          <w:lang w:bidi="ar-IQ"/>
        </w:rPr>
        <w:t>® MTB&amp;NTM Real-Time PCR Kit provided by (</w:t>
      </w:r>
      <w:proofErr w:type="spellStart"/>
      <w:r w:rsidRPr="00010023">
        <w:rPr>
          <w:rFonts w:asciiTheme="majorBidi" w:hAnsiTheme="majorBidi" w:cstheme="majorBidi"/>
          <w:sz w:val="24"/>
          <w:szCs w:val="24"/>
          <w:lang w:bidi="ar-IQ"/>
        </w:rPr>
        <w:t>Bioneer</w:t>
      </w:r>
      <w:proofErr w:type="spellEnd"/>
      <w:r w:rsidRPr="00010023">
        <w:rPr>
          <w:rFonts w:asciiTheme="majorBidi" w:hAnsiTheme="majorBidi" w:cstheme="majorBidi"/>
          <w:sz w:val="24"/>
          <w:szCs w:val="24"/>
          <w:lang w:bidi="ar-IQ"/>
        </w:rPr>
        <w:t xml:space="preserve"> </w:t>
      </w:r>
      <w:proofErr w:type="spellStart"/>
      <w:r w:rsidRPr="00010023">
        <w:rPr>
          <w:rFonts w:asciiTheme="majorBidi" w:hAnsiTheme="majorBidi" w:cstheme="majorBidi"/>
          <w:sz w:val="24"/>
          <w:szCs w:val="24"/>
          <w:lang w:bidi="ar-IQ"/>
        </w:rPr>
        <w:t>Co.,Korea</w:t>
      </w:r>
      <w:proofErr w:type="spellEnd"/>
      <w:r w:rsidRPr="00010023">
        <w:rPr>
          <w:rFonts w:asciiTheme="majorBidi" w:hAnsiTheme="majorBidi" w:cstheme="majorBidi"/>
          <w:sz w:val="24"/>
          <w:szCs w:val="24"/>
          <w:lang w:bidi="ar-IQ"/>
        </w:rPr>
        <w:t xml:space="preserve">) was used for RT-PCR based M. tuberculosis diagnosis. The </w:t>
      </w:r>
      <w:proofErr w:type="spellStart"/>
      <w:r w:rsidRPr="00010023">
        <w:rPr>
          <w:rFonts w:asciiTheme="majorBidi" w:hAnsiTheme="majorBidi" w:cstheme="majorBidi"/>
          <w:sz w:val="24"/>
          <w:szCs w:val="24"/>
          <w:lang w:bidi="ar-IQ"/>
        </w:rPr>
        <w:t>AccuPower</w:t>
      </w:r>
      <w:proofErr w:type="spellEnd"/>
      <w:r w:rsidRPr="00010023">
        <w:rPr>
          <w:rFonts w:asciiTheme="majorBidi" w:hAnsiTheme="majorBidi" w:cstheme="majorBidi"/>
          <w:sz w:val="24"/>
          <w:szCs w:val="24"/>
          <w:lang w:bidi="ar-IQ"/>
        </w:rPr>
        <w:t>® MTB&amp;NTM Real-Time PCR Kit is composed of a ready-to-use format for real-time qualitative detection of Mycobacterium tuberculosis (MTB) and Non-</w:t>
      </w:r>
      <w:proofErr w:type="spellStart"/>
      <w:r w:rsidRPr="00010023">
        <w:rPr>
          <w:rFonts w:asciiTheme="majorBidi" w:hAnsiTheme="majorBidi" w:cstheme="majorBidi"/>
          <w:sz w:val="24"/>
          <w:szCs w:val="24"/>
          <w:lang w:bidi="ar-IQ"/>
        </w:rPr>
        <w:t>tuberculous</w:t>
      </w:r>
      <w:proofErr w:type="spellEnd"/>
      <w:r w:rsidRPr="00010023">
        <w:rPr>
          <w:rFonts w:asciiTheme="majorBidi" w:hAnsiTheme="majorBidi" w:cstheme="majorBidi"/>
          <w:sz w:val="24"/>
          <w:szCs w:val="24"/>
          <w:lang w:bidi="ar-IQ"/>
        </w:rPr>
        <w:t xml:space="preserve"> </w:t>
      </w:r>
      <w:proofErr w:type="spellStart"/>
      <w:r w:rsidRPr="00010023">
        <w:rPr>
          <w:rFonts w:asciiTheme="majorBidi" w:hAnsiTheme="majorBidi" w:cstheme="majorBidi"/>
          <w:sz w:val="24"/>
          <w:szCs w:val="24"/>
          <w:lang w:bidi="ar-IQ"/>
        </w:rPr>
        <w:t>mycobacteria</w:t>
      </w:r>
      <w:proofErr w:type="spellEnd"/>
      <w:r w:rsidRPr="00010023">
        <w:rPr>
          <w:rFonts w:asciiTheme="majorBidi" w:hAnsiTheme="majorBidi" w:cstheme="majorBidi"/>
          <w:sz w:val="24"/>
          <w:szCs w:val="24"/>
          <w:lang w:bidi="ar-IQ"/>
        </w:rPr>
        <w:t xml:space="preserve"> (NTM) DNA in clinical samples. PCR thermal </w:t>
      </w:r>
      <w:r w:rsidRPr="00010023">
        <w:rPr>
          <w:rFonts w:asciiTheme="majorBidi" w:hAnsiTheme="majorBidi" w:cstheme="majorBidi"/>
          <w:sz w:val="24"/>
          <w:szCs w:val="24"/>
          <w:lang w:bidi="ar-IQ"/>
        </w:rPr>
        <w:lastRenderedPageBreak/>
        <w:t>cycling conditions (40 cycles of; 10 minutes at 95</w:t>
      </w:r>
      <w:r w:rsidRPr="00010023">
        <w:rPr>
          <w:rFonts w:ascii="Cambria Math" w:hAnsi="Cambria Math" w:cs="Cambria Math"/>
          <w:sz w:val="24"/>
          <w:szCs w:val="24"/>
          <w:lang w:bidi="ar-IQ"/>
        </w:rPr>
        <w:t>℃</w:t>
      </w:r>
      <w:r w:rsidRPr="00010023">
        <w:rPr>
          <w:rFonts w:asciiTheme="majorBidi" w:hAnsiTheme="majorBidi" w:cstheme="majorBidi"/>
          <w:sz w:val="24"/>
          <w:szCs w:val="24"/>
          <w:lang w:bidi="ar-IQ"/>
        </w:rPr>
        <w:t xml:space="preserve">, 20 second at 95 </w:t>
      </w:r>
      <w:r w:rsidRPr="00010023">
        <w:rPr>
          <w:rFonts w:ascii="Cambria Math" w:hAnsi="Cambria Math" w:cs="Cambria Math"/>
          <w:sz w:val="24"/>
          <w:szCs w:val="24"/>
          <w:lang w:bidi="ar-IQ"/>
        </w:rPr>
        <w:t>℃</w:t>
      </w:r>
      <w:r w:rsidRPr="00010023">
        <w:rPr>
          <w:rFonts w:asciiTheme="majorBidi" w:hAnsiTheme="majorBidi" w:cstheme="majorBidi"/>
          <w:sz w:val="24"/>
          <w:szCs w:val="24"/>
          <w:lang w:bidi="ar-IQ"/>
        </w:rPr>
        <w:t xml:space="preserve"> and 30 second at 55</w:t>
      </w:r>
      <w:r w:rsidRPr="00010023">
        <w:rPr>
          <w:rFonts w:ascii="Cambria Math" w:hAnsi="Cambria Math" w:cs="Cambria Math"/>
          <w:sz w:val="24"/>
          <w:szCs w:val="24"/>
          <w:lang w:bidi="ar-IQ"/>
        </w:rPr>
        <w:t>℃</w:t>
      </w:r>
      <w:r w:rsidRPr="00010023">
        <w:rPr>
          <w:rFonts w:asciiTheme="majorBidi" w:hAnsiTheme="majorBidi" w:cstheme="majorBidi"/>
          <w:sz w:val="24"/>
          <w:szCs w:val="24"/>
          <w:lang w:bidi="ar-IQ"/>
        </w:rPr>
        <w:t xml:space="preserve">) were carried out in  </w:t>
      </w:r>
      <w:proofErr w:type="spellStart"/>
      <w:r w:rsidRPr="00010023">
        <w:rPr>
          <w:rFonts w:asciiTheme="majorBidi" w:hAnsiTheme="majorBidi" w:cstheme="majorBidi"/>
          <w:sz w:val="24"/>
          <w:szCs w:val="24"/>
          <w:lang w:bidi="ar-IQ"/>
        </w:rPr>
        <w:t>Exicycler</w:t>
      </w:r>
      <w:proofErr w:type="spellEnd"/>
      <w:r w:rsidRPr="00010023">
        <w:rPr>
          <w:rFonts w:asciiTheme="majorBidi" w:hAnsiTheme="majorBidi" w:cstheme="majorBidi"/>
          <w:sz w:val="24"/>
          <w:szCs w:val="24"/>
          <w:lang w:bidi="ar-IQ"/>
        </w:rPr>
        <w:t>™ 96 Real-Time Quantitative Thermal Block (</w:t>
      </w:r>
      <w:proofErr w:type="spellStart"/>
      <w:r w:rsidRPr="00010023">
        <w:rPr>
          <w:rFonts w:asciiTheme="majorBidi" w:hAnsiTheme="majorBidi" w:cstheme="majorBidi"/>
          <w:sz w:val="24"/>
          <w:szCs w:val="24"/>
          <w:lang w:bidi="ar-IQ"/>
        </w:rPr>
        <w:t>Bioneer</w:t>
      </w:r>
      <w:proofErr w:type="spellEnd"/>
      <w:r w:rsidRPr="00010023">
        <w:rPr>
          <w:rFonts w:asciiTheme="majorBidi" w:hAnsiTheme="majorBidi" w:cstheme="majorBidi"/>
          <w:sz w:val="24"/>
          <w:szCs w:val="24"/>
          <w:lang w:bidi="ar-IQ"/>
        </w:rPr>
        <w:t xml:space="preserve"> Co., KOREA). </w:t>
      </w:r>
    </w:p>
    <w:p w:rsidR="000312AC" w:rsidRPr="00010023" w:rsidRDefault="003579E7" w:rsidP="00010023">
      <w:pPr>
        <w:spacing w:after="0" w:line="240" w:lineRule="auto"/>
        <w:jc w:val="both"/>
        <w:rPr>
          <w:rFonts w:asciiTheme="majorBidi" w:hAnsiTheme="majorBidi" w:cstheme="majorBidi"/>
          <w:sz w:val="24"/>
          <w:szCs w:val="24"/>
          <w:lang w:bidi="ar-IQ"/>
        </w:rPr>
      </w:pPr>
      <w:r w:rsidRPr="00010023">
        <w:rPr>
          <w:rFonts w:asciiTheme="majorBidi" w:hAnsiTheme="majorBidi" w:cstheme="majorBidi"/>
          <w:sz w:val="24"/>
          <w:szCs w:val="24"/>
          <w:lang w:bidi="ar-IQ"/>
        </w:rPr>
        <w:lastRenderedPageBreak/>
        <w:t>Calculation of  Sensitivity, Specificity and Accuracy</w:t>
      </w:r>
    </w:p>
    <w:p w:rsidR="000312AC" w:rsidRPr="00010023" w:rsidRDefault="000312AC" w:rsidP="00010023">
      <w:pPr>
        <w:spacing w:after="0" w:line="240" w:lineRule="auto"/>
        <w:jc w:val="both"/>
        <w:rPr>
          <w:rFonts w:asciiTheme="majorBidi" w:hAnsiTheme="majorBidi" w:cstheme="majorBidi"/>
          <w:sz w:val="24"/>
          <w:szCs w:val="24"/>
          <w:lang w:bidi="ar-IQ"/>
        </w:rPr>
      </w:pPr>
      <w:r w:rsidRPr="00010023">
        <w:rPr>
          <w:rFonts w:asciiTheme="majorBidi" w:hAnsiTheme="majorBidi" w:cstheme="majorBidi"/>
          <w:sz w:val="24"/>
          <w:szCs w:val="24"/>
          <w:lang w:bidi="ar-IQ"/>
        </w:rPr>
        <w:t xml:space="preserve">To calculate diagnostic sensitivity and specificity the following formulas are used </w:t>
      </w:r>
      <w:r w:rsidR="00061D14" w:rsidRPr="00010023">
        <w:rPr>
          <w:rFonts w:asciiTheme="majorBidi" w:hAnsiTheme="majorBidi" w:cstheme="majorBidi"/>
          <w:sz w:val="24"/>
          <w:szCs w:val="24"/>
          <w:lang w:bidi="ar-IQ"/>
        </w:rPr>
        <w:fldChar w:fldCharType="begin"/>
      </w:r>
      <w:r w:rsidRPr="00010023">
        <w:rPr>
          <w:rFonts w:asciiTheme="majorBidi" w:hAnsiTheme="majorBidi" w:cstheme="majorBidi"/>
          <w:sz w:val="24"/>
          <w:szCs w:val="24"/>
          <w:lang w:bidi="ar-IQ"/>
        </w:rPr>
        <w:instrText xml:space="preserve"> REF _Ref337286758 \r \h </w:instrText>
      </w:r>
      <w:r w:rsidR="00861683" w:rsidRPr="00010023">
        <w:rPr>
          <w:rFonts w:asciiTheme="majorBidi" w:hAnsiTheme="majorBidi" w:cstheme="majorBidi"/>
          <w:sz w:val="24"/>
          <w:szCs w:val="24"/>
          <w:lang w:bidi="ar-IQ"/>
        </w:rPr>
        <w:instrText xml:space="preserve"> \* MERGEFORMAT </w:instrText>
      </w:r>
      <w:r w:rsidR="00061D14" w:rsidRPr="00010023">
        <w:rPr>
          <w:rFonts w:asciiTheme="majorBidi" w:hAnsiTheme="majorBidi" w:cstheme="majorBidi"/>
          <w:sz w:val="24"/>
          <w:szCs w:val="24"/>
          <w:lang w:bidi="ar-IQ"/>
        </w:rPr>
      </w:r>
      <w:r w:rsidR="00061D14" w:rsidRPr="00010023">
        <w:rPr>
          <w:rFonts w:asciiTheme="majorBidi" w:hAnsiTheme="majorBidi" w:cstheme="majorBidi"/>
          <w:sz w:val="24"/>
          <w:szCs w:val="24"/>
          <w:lang w:bidi="ar-IQ"/>
        </w:rPr>
        <w:fldChar w:fldCharType="separate"/>
      </w:r>
      <w:proofErr w:type="spellStart"/>
      <w:r w:rsidR="00756FFD" w:rsidRPr="00010023">
        <w:rPr>
          <w:rFonts w:asciiTheme="majorBidi" w:hAnsiTheme="majorBidi" w:cstheme="majorBidi"/>
          <w:sz w:val="24"/>
          <w:szCs w:val="24"/>
          <w:cs/>
          <w:lang w:bidi="ar-IQ"/>
        </w:rPr>
        <w:t>‎</w:t>
      </w:r>
      <w:proofErr w:type="spellEnd"/>
      <w:r w:rsidR="00756FFD" w:rsidRPr="00010023">
        <w:rPr>
          <w:rFonts w:asciiTheme="majorBidi" w:hAnsiTheme="majorBidi" w:cstheme="majorBidi"/>
          <w:sz w:val="24"/>
          <w:szCs w:val="24"/>
          <w:lang w:bidi="ar-IQ"/>
        </w:rPr>
        <w:t>[11]</w:t>
      </w:r>
      <w:r w:rsidR="00061D14" w:rsidRPr="00010023">
        <w:rPr>
          <w:rFonts w:asciiTheme="majorBidi" w:hAnsiTheme="majorBidi" w:cstheme="majorBidi"/>
          <w:sz w:val="24"/>
          <w:szCs w:val="24"/>
          <w:lang w:bidi="ar-IQ"/>
        </w:rPr>
        <w:fldChar w:fldCharType="end"/>
      </w:r>
      <w:r w:rsidRPr="00010023">
        <w:rPr>
          <w:rFonts w:asciiTheme="majorBidi" w:hAnsiTheme="majorBidi" w:cstheme="majorBidi"/>
          <w:sz w:val="24"/>
          <w:szCs w:val="24"/>
          <w:lang w:bidi="ar-IQ"/>
        </w:rPr>
        <w:t xml:space="preserve">: </w:t>
      </w:r>
    </w:p>
    <w:p w:rsidR="00861683" w:rsidRDefault="00861683" w:rsidP="000312AC">
      <w:pPr>
        <w:spacing w:line="240" w:lineRule="auto"/>
        <w:ind w:firstLine="720"/>
        <w:jc w:val="both"/>
        <w:rPr>
          <w:rFonts w:ascii="Times New Roman" w:hAnsi="Times New Roman"/>
          <w:sz w:val="24"/>
          <w:szCs w:val="24"/>
          <w:lang w:bidi="ar-IQ"/>
        </w:rPr>
        <w:sectPr w:rsidR="00861683" w:rsidSect="00EB7227">
          <w:type w:val="continuous"/>
          <w:pgSz w:w="11907" w:h="16840" w:code="9"/>
          <w:pgMar w:top="1440" w:right="1800" w:bottom="1440" w:left="1800" w:header="1138" w:footer="236" w:gutter="0"/>
          <w:cols w:num="2" w:space="709"/>
          <w:titlePg/>
          <w:docGrid w:linePitch="360"/>
        </w:sectPr>
      </w:pPr>
    </w:p>
    <w:p w:rsidR="000312AC" w:rsidRPr="00E15D81" w:rsidRDefault="00061D14" w:rsidP="000312AC">
      <w:pPr>
        <w:spacing w:line="240" w:lineRule="auto"/>
        <w:ind w:firstLine="720"/>
        <w:jc w:val="both"/>
        <w:rPr>
          <w:rFonts w:ascii="Times New Roman" w:hAnsi="Times New Roman"/>
          <w:sz w:val="24"/>
          <w:szCs w:val="24"/>
          <w:lang w:bidi="ar-IQ"/>
        </w:rPr>
      </w:pPr>
      <w:r w:rsidRPr="00061D14">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75pt;margin-top:4.55pt;width:252.75pt;height:26.25pt;z-index:251660288" equationxml="&lt;">
            <v:imagedata r:id="rId13" o:title="" chromakey="white"/>
          </v:shape>
        </w:pict>
      </w:r>
    </w:p>
    <w:p w:rsidR="000312AC" w:rsidRPr="00F02D2C" w:rsidRDefault="000312AC" w:rsidP="000312AC">
      <w:pPr>
        <w:spacing w:line="240" w:lineRule="auto"/>
        <w:ind w:firstLine="720"/>
        <w:jc w:val="both"/>
        <w:rPr>
          <w:rFonts w:ascii="Cambria Math" w:hAnsi="Cambria Math"/>
          <w:sz w:val="20"/>
          <w:szCs w:val="20"/>
          <w:lang w:bidi="ar-IQ"/>
        </w:rPr>
      </w:pPr>
    </w:p>
    <w:p w:rsidR="000312AC" w:rsidRPr="000854CA" w:rsidRDefault="00061D14" w:rsidP="000312AC">
      <w:pPr>
        <w:spacing w:line="240" w:lineRule="auto"/>
        <w:ind w:firstLine="720"/>
        <w:jc w:val="both"/>
        <w:rPr>
          <w:rFonts w:ascii="Times New Roman" w:hAnsi="Times New Roman"/>
          <w:sz w:val="20"/>
          <w:szCs w:val="20"/>
          <w:lang w:bidi="ar-IQ"/>
        </w:rPr>
      </w:pPr>
      <w:r w:rsidRPr="00061D14">
        <w:rPr>
          <w:noProof/>
        </w:rPr>
        <w:pict>
          <v:shape id="_x0000_s1027" type="#_x0000_t75" style="position:absolute;left:0;text-align:left;margin-left:22.5pt;margin-top:4pt;width:252pt;height:26.25pt;z-index:251661312" equationxml="&lt;">
            <v:imagedata r:id="rId14" o:title="" chromakey="white"/>
          </v:shape>
        </w:pict>
      </w:r>
      <w:r w:rsidR="000312AC" w:rsidRPr="000854CA">
        <w:rPr>
          <w:rFonts w:ascii="Times New Roman" w:hAnsi="Times New Roman"/>
          <w:sz w:val="20"/>
          <w:szCs w:val="20"/>
          <w:lang w:bidi="ar-IQ"/>
        </w:rPr>
        <w:t xml:space="preserve">  </w:t>
      </w:r>
      <w:r w:rsidR="000312AC" w:rsidRPr="000854CA">
        <w:rPr>
          <w:rFonts w:ascii="Times New Roman" w:hAnsi="Times New Roman"/>
          <w:sz w:val="20"/>
          <w:szCs w:val="20"/>
          <w:lang w:bidi="ar-IQ"/>
        </w:rPr>
        <w:br/>
      </w:r>
    </w:p>
    <w:p w:rsidR="000312AC" w:rsidRPr="00F02D2C" w:rsidRDefault="000312AC" w:rsidP="000312AC">
      <w:pPr>
        <w:spacing w:line="240" w:lineRule="auto"/>
        <w:ind w:firstLine="720"/>
        <w:jc w:val="both"/>
        <w:rPr>
          <w:rFonts w:ascii="Cambria Math" w:hAnsi="Cambria Math"/>
          <w:sz w:val="24"/>
          <w:szCs w:val="24"/>
          <w:lang w:bidi="ar-IQ"/>
        </w:rPr>
      </w:pPr>
    </w:p>
    <w:p w:rsidR="000312AC" w:rsidRPr="00F02D2C" w:rsidRDefault="00061D14" w:rsidP="000312AC">
      <w:pPr>
        <w:spacing w:line="240" w:lineRule="auto"/>
        <w:ind w:firstLine="720"/>
        <w:jc w:val="both"/>
        <w:rPr>
          <w:rFonts w:ascii="Cambria Math" w:hAnsi="Cambria Math"/>
          <w:sz w:val="20"/>
          <w:szCs w:val="20"/>
          <w:lang w:bidi="ar-IQ"/>
        </w:rPr>
      </w:pPr>
      <w:r w:rsidRPr="00061D14">
        <w:rPr>
          <w:noProof/>
        </w:rPr>
        <w:pict>
          <v:shape id="_x0000_s1028" type="#_x0000_t75" style="position:absolute;left:0;text-align:left;margin-left:23.1pt;margin-top:1.65pt;width:389.25pt;height:26.25pt;z-index:251662336" equationxml="&lt;">
            <v:imagedata r:id="rId15" o:title="" chromakey="white"/>
          </v:shape>
        </w:pict>
      </w:r>
    </w:p>
    <w:p w:rsidR="000312AC" w:rsidRPr="00F02D2C" w:rsidRDefault="000312AC" w:rsidP="000312AC">
      <w:pPr>
        <w:spacing w:line="240" w:lineRule="auto"/>
        <w:ind w:firstLine="720"/>
        <w:jc w:val="both"/>
        <w:rPr>
          <w:rFonts w:ascii="Cambria Math" w:hAnsi="Cambria Math"/>
          <w:sz w:val="24"/>
          <w:szCs w:val="24"/>
          <w:lang w:bidi="ar-IQ"/>
        </w:rPr>
      </w:pPr>
    </w:p>
    <w:p w:rsidR="00861683" w:rsidRDefault="00861683" w:rsidP="00861683">
      <w:pPr>
        <w:pStyle w:val="1"/>
        <w:numPr>
          <w:ilvl w:val="0"/>
          <w:numId w:val="0"/>
        </w:numPr>
        <w:spacing w:before="0" w:after="0"/>
        <w:jc w:val="left"/>
        <w:rPr>
          <w:rFonts w:asciiTheme="majorBidi" w:eastAsia="Calibri" w:hAnsiTheme="majorBidi" w:cstheme="majorBidi"/>
          <w:b/>
          <w:bCs/>
          <w:smallCaps w:val="0"/>
          <w:kern w:val="0"/>
          <w:sz w:val="24"/>
          <w:szCs w:val="24"/>
          <w:u w:val="single"/>
          <w:lang w:bidi="ar-IQ"/>
        </w:rPr>
        <w:sectPr w:rsidR="00861683" w:rsidSect="00861683">
          <w:type w:val="continuous"/>
          <w:pgSz w:w="11907" w:h="16840" w:code="9"/>
          <w:pgMar w:top="1440" w:right="1800" w:bottom="1440" w:left="1800" w:header="1138" w:footer="514" w:gutter="0"/>
          <w:cols w:space="720"/>
          <w:titlePg/>
          <w:docGrid w:linePitch="360"/>
        </w:sectPr>
      </w:pPr>
    </w:p>
    <w:p w:rsidR="000312AC" w:rsidRPr="00861683" w:rsidRDefault="000312AC" w:rsidP="00861683">
      <w:pPr>
        <w:pStyle w:val="1"/>
        <w:numPr>
          <w:ilvl w:val="0"/>
          <w:numId w:val="0"/>
        </w:numPr>
        <w:spacing w:before="0" w:after="0"/>
        <w:jc w:val="left"/>
        <w:rPr>
          <w:rFonts w:asciiTheme="majorBidi" w:eastAsia="Calibri" w:hAnsiTheme="majorBidi" w:cstheme="majorBidi"/>
          <w:b/>
          <w:bCs/>
          <w:smallCaps w:val="0"/>
          <w:kern w:val="0"/>
          <w:sz w:val="24"/>
          <w:szCs w:val="24"/>
          <w:u w:val="single"/>
          <w:lang w:bidi="ar-IQ"/>
        </w:rPr>
      </w:pPr>
      <w:r w:rsidRPr="00861683">
        <w:rPr>
          <w:rFonts w:asciiTheme="majorBidi" w:eastAsia="Calibri" w:hAnsiTheme="majorBidi" w:cstheme="majorBidi"/>
          <w:b/>
          <w:bCs/>
          <w:smallCaps w:val="0"/>
          <w:kern w:val="0"/>
          <w:sz w:val="24"/>
          <w:szCs w:val="24"/>
          <w:u w:val="single"/>
          <w:lang w:bidi="ar-IQ"/>
        </w:rPr>
        <w:lastRenderedPageBreak/>
        <w:t xml:space="preserve">Results </w:t>
      </w:r>
    </w:p>
    <w:p w:rsidR="000312AC" w:rsidRPr="00861683" w:rsidRDefault="00771EA3" w:rsidP="00861683">
      <w:pPr>
        <w:spacing w:after="0" w:line="240" w:lineRule="auto"/>
        <w:jc w:val="both"/>
        <w:rPr>
          <w:rFonts w:asciiTheme="majorBidi" w:hAnsiTheme="majorBidi" w:cstheme="majorBidi"/>
          <w:b/>
          <w:bCs/>
          <w:sz w:val="24"/>
          <w:szCs w:val="24"/>
          <w:lang w:bidi="ar-IQ"/>
        </w:rPr>
      </w:pPr>
      <w:proofErr w:type="spellStart"/>
      <w:r w:rsidRPr="00861683">
        <w:rPr>
          <w:rFonts w:asciiTheme="majorBidi" w:hAnsiTheme="majorBidi" w:cstheme="majorBidi"/>
          <w:b/>
          <w:bCs/>
          <w:sz w:val="24"/>
          <w:szCs w:val="24"/>
          <w:lang w:bidi="ar-IQ"/>
        </w:rPr>
        <w:t>Afb</w:t>
      </w:r>
      <w:proofErr w:type="spellEnd"/>
      <w:r w:rsidRPr="00861683">
        <w:rPr>
          <w:rFonts w:asciiTheme="majorBidi" w:hAnsiTheme="majorBidi" w:cstheme="majorBidi"/>
          <w:b/>
          <w:bCs/>
          <w:sz w:val="24"/>
          <w:szCs w:val="24"/>
          <w:lang w:bidi="ar-IQ"/>
        </w:rPr>
        <w:t xml:space="preserve"> Smear Diagnosis Of Pulmonary Tb Patients </w:t>
      </w:r>
    </w:p>
    <w:p w:rsidR="000312AC" w:rsidRPr="00861683" w:rsidRDefault="000312AC" w:rsidP="00861683">
      <w:pPr>
        <w:spacing w:after="0" w:line="240" w:lineRule="auto"/>
        <w:ind w:firstLine="426"/>
        <w:jc w:val="both"/>
        <w:rPr>
          <w:rFonts w:asciiTheme="majorBidi" w:hAnsiTheme="majorBidi" w:cstheme="majorBidi"/>
          <w:sz w:val="24"/>
          <w:szCs w:val="24"/>
          <w:lang w:bidi="ar-IQ"/>
        </w:rPr>
      </w:pPr>
      <w:r w:rsidRPr="00861683">
        <w:rPr>
          <w:rFonts w:asciiTheme="majorBidi" w:hAnsiTheme="majorBidi" w:cstheme="majorBidi"/>
          <w:sz w:val="24"/>
          <w:szCs w:val="24"/>
          <w:lang w:bidi="ar-IQ"/>
        </w:rPr>
        <w:t xml:space="preserve">A total of  136 TB patients were enrolled in this study that meet the clinical diagnosis criteria and were positive for at least 1 of the laboratory diagnosis criteria. Among those patients, there were 124 pulmonary TB (PTB) cases, in addition to 12 subjects with </w:t>
      </w:r>
      <w:proofErr w:type="spellStart"/>
      <w:r w:rsidRPr="00861683">
        <w:rPr>
          <w:rFonts w:asciiTheme="majorBidi" w:hAnsiTheme="majorBidi" w:cstheme="majorBidi"/>
          <w:sz w:val="24"/>
          <w:szCs w:val="24"/>
          <w:lang w:bidi="ar-IQ"/>
        </w:rPr>
        <w:t>extrapulmonary</w:t>
      </w:r>
      <w:proofErr w:type="spellEnd"/>
      <w:r w:rsidRPr="00861683">
        <w:rPr>
          <w:rFonts w:asciiTheme="majorBidi" w:hAnsiTheme="majorBidi" w:cstheme="majorBidi"/>
          <w:sz w:val="24"/>
          <w:szCs w:val="24"/>
          <w:lang w:bidi="ar-IQ"/>
        </w:rPr>
        <w:t xml:space="preserve"> TB cases. Of the </w:t>
      </w:r>
      <w:proofErr w:type="spellStart"/>
      <w:r w:rsidRPr="00861683">
        <w:rPr>
          <w:rFonts w:asciiTheme="majorBidi" w:hAnsiTheme="majorBidi" w:cstheme="majorBidi"/>
          <w:sz w:val="24"/>
          <w:szCs w:val="24"/>
          <w:lang w:bidi="ar-IQ"/>
        </w:rPr>
        <w:t>extrapulmonary</w:t>
      </w:r>
      <w:proofErr w:type="spellEnd"/>
      <w:r w:rsidRPr="00861683">
        <w:rPr>
          <w:rFonts w:asciiTheme="majorBidi" w:hAnsiTheme="majorBidi" w:cstheme="majorBidi"/>
          <w:sz w:val="24"/>
          <w:szCs w:val="24"/>
          <w:lang w:bidi="ar-IQ"/>
        </w:rPr>
        <w:t xml:space="preserve"> cases, there were 10 cases of TB lymphadenitis and 2 cases of bone TB.</w:t>
      </w:r>
    </w:p>
    <w:p w:rsidR="000312AC" w:rsidRPr="00861683" w:rsidRDefault="000312AC" w:rsidP="00861683">
      <w:pPr>
        <w:spacing w:after="0" w:line="240" w:lineRule="auto"/>
        <w:ind w:firstLine="426"/>
        <w:jc w:val="both"/>
        <w:rPr>
          <w:rFonts w:asciiTheme="majorBidi" w:hAnsiTheme="majorBidi" w:cstheme="majorBidi"/>
          <w:sz w:val="24"/>
          <w:szCs w:val="24"/>
          <w:lang w:bidi="ar-IQ"/>
        </w:rPr>
      </w:pPr>
      <w:r w:rsidRPr="00861683">
        <w:rPr>
          <w:rFonts w:asciiTheme="majorBidi" w:hAnsiTheme="majorBidi" w:cstheme="majorBidi"/>
          <w:sz w:val="24"/>
          <w:szCs w:val="24"/>
          <w:lang w:bidi="ar-IQ"/>
        </w:rPr>
        <w:t xml:space="preserve">As indicated in  </w:t>
      </w:r>
      <w:r w:rsidRPr="00861683">
        <w:rPr>
          <w:rFonts w:asciiTheme="majorBidi" w:hAnsiTheme="majorBidi" w:cstheme="majorBidi"/>
          <w:sz w:val="24"/>
          <w:szCs w:val="24"/>
          <w:rtl/>
          <w:lang w:bidi="ar-IQ"/>
        </w:rPr>
        <w:t>"</w:t>
      </w:r>
      <w:r w:rsidRPr="00861683">
        <w:rPr>
          <w:rFonts w:asciiTheme="majorBidi" w:hAnsiTheme="majorBidi" w:cstheme="majorBidi"/>
          <w:sz w:val="24"/>
          <w:szCs w:val="24"/>
          <w:lang w:bidi="ar-IQ"/>
        </w:rPr>
        <w:t>Table 1</w:t>
      </w:r>
      <w:r w:rsidRPr="00861683">
        <w:rPr>
          <w:rFonts w:asciiTheme="majorBidi" w:hAnsiTheme="majorBidi" w:cstheme="majorBidi"/>
          <w:sz w:val="24"/>
          <w:szCs w:val="24"/>
          <w:rtl/>
          <w:lang w:bidi="ar-IQ"/>
        </w:rPr>
        <w:t>"</w:t>
      </w:r>
      <w:r w:rsidR="00190696" w:rsidRPr="00861683">
        <w:rPr>
          <w:rFonts w:asciiTheme="majorBidi" w:hAnsiTheme="majorBidi" w:cstheme="majorBidi"/>
          <w:sz w:val="24"/>
          <w:szCs w:val="24"/>
          <w:lang w:bidi="ar-IQ"/>
        </w:rPr>
        <w:t xml:space="preserve"> was shown </w:t>
      </w:r>
      <w:r w:rsidRPr="00861683">
        <w:rPr>
          <w:rFonts w:asciiTheme="majorBidi" w:hAnsiTheme="majorBidi" w:cstheme="majorBidi"/>
          <w:sz w:val="24"/>
          <w:szCs w:val="24"/>
          <w:lang w:bidi="ar-IQ"/>
        </w:rPr>
        <w:t xml:space="preserve">that of the 124 PTB cases, there were 92 (74%) AFB smear positive cases, 54 (43%) culture positive, 110 (88%) RT-PCR positive and only 30 (24%) patients were positive for </w:t>
      </w:r>
      <w:proofErr w:type="spellStart"/>
      <w:r w:rsidRPr="00861683">
        <w:rPr>
          <w:rFonts w:asciiTheme="majorBidi" w:hAnsiTheme="majorBidi" w:cstheme="majorBidi"/>
          <w:sz w:val="24"/>
          <w:szCs w:val="24"/>
          <w:lang w:bidi="ar-IQ"/>
        </w:rPr>
        <w:t>immunochromatographic</w:t>
      </w:r>
      <w:proofErr w:type="spellEnd"/>
      <w:r w:rsidRPr="00861683">
        <w:rPr>
          <w:rFonts w:asciiTheme="majorBidi" w:hAnsiTheme="majorBidi" w:cstheme="majorBidi"/>
          <w:sz w:val="24"/>
          <w:szCs w:val="24"/>
          <w:lang w:bidi="ar-IQ"/>
        </w:rPr>
        <w:t xml:space="preserve"> assay (ICG).  All the </w:t>
      </w:r>
      <w:proofErr w:type="spellStart"/>
      <w:r w:rsidRPr="00861683">
        <w:rPr>
          <w:rFonts w:asciiTheme="majorBidi" w:hAnsiTheme="majorBidi" w:cstheme="majorBidi"/>
          <w:sz w:val="24"/>
          <w:szCs w:val="24"/>
          <w:lang w:bidi="ar-IQ"/>
        </w:rPr>
        <w:t>extrapulmonary</w:t>
      </w:r>
      <w:proofErr w:type="spellEnd"/>
      <w:r w:rsidRPr="00861683">
        <w:rPr>
          <w:rFonts w:asciiTheme="majorBidi" w:hAnsiTheme="majorBidi" w:cstheme="majorBidi"/>
          <w:sz w:val="24"/>
          <w:szCs w:val="24"/>
          <w:lang w:bidi="ar-IQ"/>
        </w:rPr>
        <w:t xml:space="preserve"> cases were AFB smear positive in tissue biopsy not in sputum specimen. Six of the </w:t>
      </w:r>
      <w:proofErr w:type="spellStart"/>
      <w:r w:rsidRPr="00861683">
        <w:rPr>
          <w:rFonts w:asciiTheme="majorBidi" w:hAnsiTheme="majorBidi" w:cstheme="majorBidi"/>
          <w:sz w:val="24"/>
          <w:szCs w:val="24"/>
          <w:lang w:bidi="ar-IQ"/>
        </w:rPr>
        <w:t>extrapulmonary</w:t>
      </w:r>
      <w:proofErr w:type="spellEnd"/>
      <w:r w:rsidRPr="00861683">
        <w:rPr>
          <w:rFonts w:asciiTheme="majorBidi" w:hAnsiTheme="majorBidi" w:cstheme="majorBidi"/>
          <w:sz w:val="24"/>
          <w:szCs w:val="24"/>
          <w:lang w:bidi="ar-IQ"/>
        </w:rPr>
        <w:t xml:space="preserve"> TB cases were positive for ICG </w:t>
      </w:r>
      <w:r w:rsidRPr="00861683">
        <w:rPr>
          <w:rFonts w:asciiTheme="majorBidi" w:hAnsiTheme="majorBidi" w:cstheme="majorBidi"/>
          <w:sz w:val="24"/>
          <w:szCs w:val="24"/>
          <w:rtl/>
          <w:lang w:bidi="ar-IQ"/>
        </w:rPr>
        <w:t>"</w:t>
      </w:r>
      <w:r w:rsidRPr="00861683">
        <w:rPr>
          <w:rFonts w:asciiTheme="majorBidi" w:hAnsiTheme="majorBidi" w:cstheme="majorBidi"/>
          <w:sz w:val="24"/>
          <w:szCs w:val="24"/>
          <w:lang w:bidi="ar-IQ"/>
        </w:rPr>
        <w:t>Table 1</w:t>
      </w:r>
      <w:r w:rsidRPr="00861683">
        <w:rPr>
          <w:rFonts w:asciiTheme="majorBidi" w:hAnsiTheme="majorBidi" w:cstheme="majorBidi"/>
          <w:sz w:val="24"/>
          <w:szCs w:val="24"/>
          <w:rtl/>
          <w:lang w:bidi="ar-IQ"/>
        </w:rPr>
        <w:t>"</w:t>
      </w:r>
      <w:r w:rsidRPr="00861683">
        <w:rPr>
          <w:rFonts w:asciiTheme="majorBidi" w:hAnsiTheme="majorBidi" w:cstheme="majorBidi"/>
          <w:sz w:val="24"/>
          <w:szCs w:val="24"/>
          <w:lang w:bidi="ar-IQ"/>
        </w:rPr>
        <w:t xml:space="preserve">. </w:t>
      </w:r>
    </w:p>
    <w:p w:rsidR="000312AC" w:rsidRPr="00861683" w:rsidRDefault="000312AC" w:rsidP="00861683">
      <w:pPr>
        <w:spacing w:after="0" w:line="240" w:lineRule="auto"/>
        <w:ind w:firstLine="426"/>
        <w:jc w:val="both"/>
        <w:rPr>
          <w:rFonts w:asciiTheme="majorBidi" w:hAnsiTheme="majorBidi" w:cstheme="majorBidi"/>
          <w:sz w:val="24"/>
          <w:szCs w:val="24"/>
          <w:lang w:bidi="ar-IQ"/>
        </w:rPr>
      </w:pPr>
      <w:r w:rsidRPr="00861683">
        <w:rPr>
          <w:rFonts w:asciiTheme="majorBidi" w:hAnsiTheme="majorBidi" w:cstheme="majorBidi"/>
          <w:sz w:val="24"/>
          <w:szCs w:val="24"/>
          <w:lang w:bidi="ar-IQ"/>
        </w:rPr>
        <w:t xml:space="preserve">Out of the 124 PTB cases, There were 92 (74%) AFB smear positive cases. </w:t>
      </w:r>
      <w:r w:rsidRPr="00861683">
        <w:rPr>
          <w:rFonts w:asciiTheme="majorBidi" w:hAnsiTheme="majorBidi" w:cstheme="majorBidi"/>
          <w:sz w:val="24"/>
          <w:szCs w:val="24"/>
          <w:rtl/>
          <w:lang w:bidi="ar-IQ"/>
        </w:rPr>
        <w:t>"</w:t>
      </w:r>
      <w:r w:rsidRPr="00861683">
        <w:rPr>
          <w:rFonts w:asciiTheme="majorBidi" w:hAnsiTheme="majorBidi" w:cstheme="majorBidi"/>
          <w:sz w:val="24"/>
          <w:szCs w:val="24"/>
          <w:lang w:bidi="ar-IQ"/>
        </w:rPr>
        <w:t>Table 2</w:t>
      </w:r>
      <w:r w:rsidRPr="00861683">
        <w:rPr>
          <w:rFonts w:asciiTheme="majorBidi" w:hAnsiTheme="majorBidi" w:cstheme="majorBidi"/>
          <w:sz w:val="24"/>
          <w:szCs w:val="24"/>
          <w:rtl/>
          <w:lang w:bidi="ar-IQ"/>
        </w:rPr>
        <w:t>"</w:t>
      </w:r>
      <w:r w:rsidRPr="00861683">
        <w:rPr>
          <w:rFonts w:asciiTheme="majorBidi" w:hAnsiTheme="majorBidi" w:cstheme="majorBidi"/>
          <w:sz w:val="24"/>
          <w:szCs w:val="24"/>
          <w:lang w:bidi="ar-IQ"/>
        </w:rPr>
        <w:t xml:space="preserve"> </w:t>
      </w:r>
      <w:r w:rsidR="00190696" w:rsidRPr="00861683">
        <w:rPr>
          <w:rFonts w:asciiTheme="majorBidi" w:hAnsiTheme="majorBidi" w:cstheme="majorBidi"/>
          <w:sz w:val="24"/>
          <w:szCs w:val="24"/>
          <w:lang w:bidi="ar-IQ"/>
        </w:rPr>
        <w:t xml:space="preserve">was shown </w:t>
      </w:r>
      <w:r w:rsidRPr="00861683">
        <w:rPr>
          <w:rFonts w:asciiTheme="majorBidi" w:hAnsiTheme="majorBidi" w:cstheme="majorBidi"/>
          <w:sz w:val="24"/>
          <w:szCs w:val="24"/>
          <w:lang w:bidi="ar-IQ"/>
        </w:rPr>
        <w:t xml:space="preserve">AFB smear results of the PTB patients compared with  results of the other techniques. Of the 92 positive AFB smears, there were 80 (87%) positive </w:t>
      </w:r>
      <w:r w:rsidRPr="00861683">
        <w:rPr>
          <w:rFonts w:asciiTheme="majorBidi" w:hAnsiTheme="majorBidi" w:cstheme="majorBidi"/>
          <w:sz w:val="24"/>
          <w:szCs w:val="24"/>
          <w:lang w:bidi="ar-IQ"/>
        </w:rPr>
        <w:lastRenderedPageBreak/>
        <w:t xml:space="preserve">RT-PCR results, 42 (46%) positive culture results and 24 (26%) positive ICG results. </w:t>
      </w:r>
    </w:p>
    <w:p w:rsidR="000312AC" w:rsidRPr="00861683" w:rsidRDefault="00771EA3" w:rsidP="00861683">
      <w:pPr>
        <w:spacing w:after="0" w:line="240" w:lineRule="auto"/>
        <w:jc w:val="both"/>
        <w:rPr>
          <w:rFonts w:asciiTheme="majorBidi" w:hAnsiTheme="majorBidi" w:cstheme="majorBidi"/>
          <w:b/>
          <w:bCs/>
          <w:sz w:val="24"/>
          <w:szCs w:val="24"/>
          <w:lang w:bidi="ar-IQ"/>
        </w:rPr>
      </w:pPr>
      <w:r w:rsidRPr="00861683">
        <w:rPr>
          <w:rFonts w:asciiTheme="majorBidi" w:hAnsiTheme="majorBidi" w:cstheme="majorBidi"/>
          <w:b/>
          <w:bCs/>
          <w:sz w:val="24"/>
          <w:szCs w:val="24"/>
          <w:lang w:bidi="ar-IQ"/>
        </w:rPr>
        <w:t>Culture  Diagnosis Of Pulmonary Tb Patients</w:t>
      </w:r>
      <w:r w:rsidR="000312AC" w:rsidRPr="00861683">
        <w:rPr>
          <w:rFonts w:asciiTheme="majorBidi" w:hAnsiTheme="majorBidi" w:cstheme="majorBidi"/>
          <w:b/>
          <w:bCs/>
          <w:sz w:val="24"/>
          <w:szCs w:val="24"/>
          <w:lang w:bidi="ar-IQ"/>
        </w:rPr>
        <w:t xml:space="preserve"> </w:t>
      </w:r>
    </w:p>
    <w:p w:rsidR="000312AC" w:rsidRPr="00861683" w:rsidRDefault="000312AC" w:rsidP="00861683">
      <w:pPr>
        <w:spacing w:after="0" w:line="240" w:lineRule="auto"/>
        <w:ind w:firstLine="720"/>
        <w:jc w:val="both"/>
        <w:rPr>
          <w:rFonts w:asciiTheme="majorBidi" w:hAnsiTheme="majorBidi" w:cstheme="majorBidi"/>
          <w:sz w:val="24"/>
          <w:szCs w:val="24"/>
          <w:lang w:bidi="ar-IQ"/>
        </w:rPr>
      </w:pPr>
      <w:r w:rsidRPr="00861683">
        <w:rPr>
          <w:rFonts w:asciiTheme="majorBidi" w:hAnsiTheme="majorBidi" w:cstheme="majorBidi"/>
          <w:sz w:val="24"/>
          <w:szCs w:val="24"/>
          <w:lang w:bidi="ar-IQ"/>
        </w:rPr>
        <w:t xml:space="preserve">Out of the 124 PTB cases, There were 54 (43%) culture positive cases. </w:t>
      </w:r>
      <w:r w:rsidRPr="00861683">
        <w:rPr>
          <w:rFonts w:asciiTheme="majorBidi" w:hAnsiTheme="majorBidi" w:cstheme="majorBidi"/>
          <w:sz w:val="24"/>
          <w:szCs w:val="24"/>
          <w:rtl/>
          <w:lang w:bidi="ar-IQ"/>
        </w:rPr>
        <w:t>"</w:t>
      </w:r>
      <w:r w:rsidRPr="00861683">
        <w:rPr>
          <w:rFonts w:asciiTheme="majorBidi" w:hAnsiTheme="majorBidi" w:cstheme="majorBidi"/>
          <w:sz w:val="24"/>
          <w:szCs w:val="24"/>
          <w:lang w:bidi="ar-IQ"/>
        </w:rPr>
        <w:t>Table 3</w:t>
      </w:r>
      <w:r w:rsidRPr="00861683">
        <w:rPr>
          <w:rFonts w:asciiTheme="majorBidi" w:hAnsiTheme="majorBidi" w:cstheme="majorBidi"/>
          <w:sz w:val="24"/>
          <w:szCs w:val="24"/>
          <w:rtl/>
          <w:lang w:bidi="ar-IQ"/>
        </w:rPr>
        <w:t>"</w:t>
      </w:r>
      <w:r w:rsidRPr="00861683">
        <w:rPr>
          <w:rFonts w:asciiTheme="majorBidi" w:hAnsiTheme="majorBidi" w:cstheme="majorBidi"/>
          <w:sz w:val="24"/>
          <w:szCs w:val="24"/>
          <w:lang w:bidi="ar-IQ"/>
        </w:rPr>
        <w:t xml:space="preserve"> </w:t>
      </w:r>
      <w:r w:rsidR="00190696" w:rsidRPr="00861683">
        <w:rPr>
          <w:rFonts w:asciiTheme="majorBidi" w:hAnsiTheme="majorBidi" w:cstheme="majorBidi"/>
          <w:sz w:val="24"/>
          <w:szCs w:val="24"/>
          <w:lang w:bidi="ar-IQ"/>
        </w:rPr>
        <w:t xml:space="preserve">was shown </w:t>
      </w:r>
      <w:r w:rsidRPr="00861683">
        <w:rPr>
          <w:rFonts w:asciiTheme="majorBidi" w:hAnsiTheme="majorBidi" w:cstheme="majorBidi"/>
          <w:sz w:val="24"/>
          <w:szCs w:val="24"/>
          <w:lang w:bidi="ar-IQ"/>
        </w:rPr>
        <w:t xml:space="preserve">culture  results of the PTB patients compared with  results of the other techniques. Of the 54 culture positive cases, there were 48 (89%) positive RT-PCR results, 42 (78%) positive AFB smear results and 22 (41%) positive ICG results. </w:t>
      </w:r>
    </w:p>
    <w:p w:rsidR="000312AC" w:rsidRPr="00861683" w:rsidRDefault="00771EA3" w:rsidP="00861683">
      <w:pPr>
        <w:spacing w:after="0" w:line="240" w:lineRule="auto"/>
        <w:jc w:val="both"/>
        <w:rPr>
          <w:rFonts w:asciiTheme="majorBidi" w:hAnsiTheme="majorBidi" w:cstheme="majorBidi"/>
          <w:b/>
          <w:bCs/>
          <w:sz w:val="24"/>
          <w:szCs w:val="24"/>
          <w:lang w:bidi="ar-IQ"/>
        </w:rPr>
      </w:pPr>
      <w:r w:rsidRPr="00861683">
        <w:rPr>
          <w:rFonts w:asciiTheme="majorBidi" w:hAnsiTheme="majorBidi" w:cstheme="majorBidi"/>
          <w:b/>
          <w:bCs/>
          <w:sz w:val="24"/>
          <w:szCs w:val="24"/>
          <w:lang w:bidi="ar-IQ"/>
        </w:rPr>
        <w:t xml:space="preserve">Real-Time </w:t>
      </w:r>
      <w:proofErr w:type="spellStart"/>
      <w:r w:rsidRPr="00861683">
        <w:rPr>
          <w:rFonts w:asciiTheme="majorBidi" w:hAnsiTheme="majorBidi" w:cstheme="majorBidi"/>
          <w:b/>
          <w:bCs/>
          <w:sz w:val="24"/>
          <w:szCs w:val="24"/>
          <w:lang w:bidi="ar-IQ"/>
        </w:rPr>
        <w:t>Pcr</w:t>
      </w:r>
      <w:proofErr w:type="spellEnd"/>
      <w:r w:rsidRPr="00861683">
        <w:rPr>
          <w:rFonts w:asciiTheme="majorBidi" w:hAnsiTheme="majorBidi" w:cstheme="majorBidi"/>
          <w:b/>
          <w:bCs/>
          <w:sz w:val="24"/>
          <w:szCs w:val="24"/>
          <w:lang w:bidi="ar-IQ"/>
        </w:rPr>
        <w:t xml:space="preserve"> Diagnosis Of Pulmonary Tb Patients </w:t>
      </w:r>
    </w:p>
    <w:p w:rsidR="000312AC" w:rsidRPr="00861683" w:rsidRDefault="000312AC" w:rsidP="00861683">
      <w:pPr>
        <w:spacing w:after="0" w:line="240" w:lineRule="auto"/>
        <w:ind w:firstLine="720"/>
        <w:jc w:val="both"/>
        <w:rPr>
          <w:rFonts w:asciiTheme="majorBidi" w:hAnsiTheme="majorBidi" w:cstheme="majorBidi"/>
          <w:sz w:val="24"/>
          <w:szCs w:val="24"/>
          <w:lang w:bidi="ar-IQ"/>
        </w:rPr>
      </w:pPr>
      <w:r w:rsidRPr="00861683">
        <w:rPr>
          <w:rFonts w:asciiTheme="majorBidi" w:hAnsiTheme="majorBidi" w:cstheme="majorBidi"/>
          <w:sz w:val="24"/>
          <w:szCs w:val="24"/>
          <w:lang w:bidi="ar-IQ"/>
        </w:rPr>
        <w:t xml:space="preserve">Out of the 124 PTB cases, There were 110 (88%) RT-PCR positive cases. </w:t>
      </w:r>
      <w:r w:rsidRPr="00861683">
        <w:rPr>
          <w:rFonts w:asciiTheme="majorBidi" w:hAnsiTheme="majorBidi" w:cstheme="majorBidi"/>
          <w:sz w:val="24"/>
          <w:szCs w:val="24"/>
          <w:rtl/>
          <w:lang w:bidi="ar-IQ"/>
        </w:rPr>
        <w:t>"</w:t>
      </w:r>
      <w:r w:rsidRPr="00861683">
        <w:rPr>
          <w:rFonts w:asciiTheme="majorBidi" w:hAnsiTheme="majorBidi" w:cstheme="majorBidi"/>
          <w:sz w:val="24"/>
          <w:szCs w:val="24"/>
          <w:lang w:bidi="ar-IQ"/>
        </w:rPr>
        <w:t>Table 4</w:t>
      </w:r>
      <w:r w:rsidRPr="00861683">
        <w:rPr>
          <w:rFonts w:asciiTheme="majorBidi" w:hAnsiTheme="majorBidi" w:cstheme="majorBidi"/>
          <w:sz w:val="24"/>
          <w:szCs w:val="24"/>
          <w:rtl/>
          <w:lang w:bidi="ar-IQ"/>
        </w:rPr>
        <w:t>"</w:t>
      </w:r>
      <w:r w:rsidRPr="00861683">
        <w:rPr>
          <w:rFonts w:asciiTheme="majorBidi" w:hAnsiTheme="majorBidi" w:cstheme="majorBidi"/>
          <w:sz w:val="24"/>
          <w:szCs w:val="24"/>
          <w:lang w:bidi="ar-IQ"/>
        </w:rPr>
        <w:t xml:space="preserve"> </w:t>
      </w:r>
      <w:r w:rsidR="00190696" w:rsidRPr="00861683">
        <w:rPr>
          <w:rFonts w:asciiTheme="majorBidi" w:hAnsiTheme="majorBidi" w:cstheme="majorBidi"/>
          <w:sz w:val="24"/>
          <w:szCs w:val="24"/>
          <w:lang w:bidi="ar-IQ"/>
        </w:rPr>
        <w:t xml:space="preserve">was shown </w:t>
      </w:r>
      <w:r w:rsidRPr="00861683">
        <w:rPr>
          <w:rFonts w:asciiTheme="majorBidi" w:hAnsiTheme="majorBidi" w:cstheme="majorBidi"/>
          <w:sz w:val="24"/>
          <w:szCs w:val="24"/>
          <w:lang w:bidi="ar-IQ"/>
        </w:rPr>
        <w:t xml:space="preserve">RT-PCR results of the PTB patients compared with  results of the other techniques. Of the 110 RT-PCR positive cases, there were 80 (73%) positive AFB smear cases48 (44%) culture positive cases and 24 (22%) positive ICG cases. </w:t>
      </w:r>
    </w:p>
    <w:p w:rsidR="000312AC" w:rsidRPr="00861683" w:rsidRDefault="00771EA3" w:rsidP="00861683">
      <w:pPr>
        <w:spacing w:after="0" w:line="240" w:lineRule="auto"/>
        <w:jc w:val="both"/>
        <w:rPr>
          <w:rFonts w:asciiTheme="majorBidi" w:hAnsiTheme="majorBidi" w:cstheme="majorBidi"/>
          <w:b/>
          <w:bCs/>
          <w:sz w:val="24"/>
          <w:szCs w:val="24"/>
          <w:lang w:bidi="ar-IQ"/>
        </w:rPr>
      </w:pPr>
      <w:proofErr w:type="spellStart"/>
      <w:r w:rsidRPr="00861683">
        <w:rPr>
          <w:rFonts w:asciiTheme="majorBidi" w:hAnsiTheme="majorBidi" w:cstheme="majorBidi"/>
          <w:b/>
          <w:bCs/>
          <w:sz w:val="24"/>
          <w:szCs w:val="24"/>
          <w:lang w:bidi="ar-IQ"/>
        </w:rPr>
        <w:t>Immunochromatography</w:t>
      </w:r>
      <w:proofErr w:type="spellEnd"/>
      <w:r w:rsidRPr="00861683">
        <w:rPr>
          <w:rFonts w:asciiTheme="majorBidi" w:hAnsiTheme="majorBidi" w:cstheme="majorBidi"/>
          <w:b/>
          <w:bCs/>
          <w:sz w:val="24"/>
          <w:szCs w:val="24"/>
          <w:lang w:bidi="ar-IQ"/>
        </w:rPr>
        <w:t xml:space="preserve"> (</w:t>
      </w:r>
      <w:proofErr w:type="spellStart"/>
      <w:r w:rsidRPr="00861683">
        <w:rPr>
          <w:rFonts w:asciiTheme="majorBidi" w:hAnsiTheme="majorBidi" w:cstheme="majorBidi"/>
          <w:b/>
          <w:bCs/>
          <w:sz w:val="24"/>
          <w:szCs w:val="24"/>
          <w:lang w:bidi="ar-IQ"/>
        </w:rPr>
        <w:t>Icg</w:t>
      </w:r>
      <w:proofErr w:type="spellEnd"/>
      <w:r w:rsidRPr="00861683">
        <w:rPr>
          <w:rFonts w:asciiTheme="majorBidi" w:hAnsiTheme="majorBidi" w:cstheme="majorBidi"/>
          <w:b/>
          <w:bCs/>
          <w:sz w:val="24"/>
          <w:szCs w:val="24"/>
          <w:lang w:bidi="ar-IQ"/>
        </w:rPr>
        <w:t xml:space="preserve">) Diagnosis Of Pulmonary Tb Patients </w:t>
      </w:r>
    </w:p>
    <w:p w:rsidR="000312AC" w:rsidRPr="00861683" w:rsidRDefault="000312AC" w:rsidP="00861683">
      <w:pPr>
        <w:spacing w:after="0" w:line="240" w:lineRule="auto"/>
        <w:ind w:firstLine="284"/>
        <w:jc w:val="both"/>
        <w:rPr>
          <w:rFonts w:asciiTheme="majorBidi" w:hAnsiTheme="majorBidi" w:cstheme="majorBidi"/>
          <w:sz w:val="24"/>
          <w:szCs w:val="24"/>
          <w:lang w:bidi="ar-IQ"/>
        </w:rPr>
      </w:pPr>
      <w:r w:rsidRPr="00861683">
        <w:rPr>
          <w:rFonts w:asciiTheme="majorBidi" w:hAnsiTheme="majorBidi" w:cstheme="majorBidi"/>
          <w:sz w:val="24"/>
          <w:szCs w:val="24"/>
          <w:lang w:bidi="ar-IQ"/>
        </w:rPr>
        <w:t xml:space="preserve">Out of the 124 PTB cases, There were 30 (24%) ICG positive PTB cases. </w:t>
      </w:r>
      <w:r w:rsidRPr="00861683">
        <w:rPr>
          <w:rFonts w:asciiTheme="majorBidi" w:hAnsiTheme="majorBidi" w:cstheme="majorBidi"/>
          <w:sz w:val="24"/>
          <w:szCs w:val="24"/>
          <w:rtl/>
          <w:lang w:bidi="ar-IQ"/>
        </w:rPr>
        <w:t>"</w:t>
      </w:r>
      <w:r w:rsidRPr="00861683">
        <w:rPr>
          <w:rFonts w:asciiTheme="majorBidi" w:hAnsiTheme="majorBidi" w:cstheme="majorBidi"/>
          <w:sz w:val="24"/>
          <w:szCs w:val="24"/>
          <w:lang w:bidi="ar-IQ"/>
        </w:rPr>
        <w:t>Table 5</w:t>
      </w:r>
      <w:r w:rsidRPr="00861683">
        <w:rPr>
          <w:rFonts w:asciiTheme="majorBidi" w:hAnsiTheme="majorBidi" w:cstheme="majorBidi"/>
          <w:sz w:val="24"/>
          <w:szCs w:val="24"/>
          <w:rtl/>
          <w:lang w:bidi="ar-IQ"/>
        </w:rPr>
        <w:t>"</w:t>
      </w:r>
      <w:r w:rsidRPr="00861683">
        <w:rPr>
          <w:rFonts w:asciiTheme="majorBidi" w:hAnsiTheme="majorBidi" w:cstheme="majorBidi"/>
          <w:sz w:val="24"/>
          <w:szCs w:val="24"/>
          <w:lang w:bidi="ar-IQ"/>
        </w:rPr>
        <w:t xml:space="preserve"> </w:t>
      </w:r>
      <w:r w:rsidR="006A42E6" w:rsidRPr="00861683">
        <w:rPr>
          <w:rFonts w:asciiTheme="majorBidi" w:hAnsiTheme="majorBidi" w:cstheme="majorBidi"/>
          <w:sz w:val="24"/>
          <w:szCs w:val="24"/>
          <w:lang w:bidi="ar-IQ"/>
        </w:rPr>
        <w:t xml:space="preserve">was shown </w:t>
      </w:r>
      <w:r w:rsidRPr="00861683">
        <w:rPr>
          <w:rFonts w:asciiTheme="majorBidi" w:hAnsiTheme="majorBidi" w:cstheme="majorBidi"/>
          <w:sz w:val="24"/>
          <w:szCs w:val="24"/>
          <w:lang w:bidi="ar-IQ"/>
        </w:rPr>
        <w:t xml:space="preserve">ICG results of the PTB patients compared </w:t>
      </w:r>
      <w:r w:rsidRPr="00861683">
        <w:rPr>
          <w:rFonts w:asciiTheme="majorBidi" w:hAnsiTheme="majorBidi" w:cstheme="majorBidi"/>
          <w:sz w:val="24"/>
          <w:szCs w:val="24"/>
          <w:lang w:bidi="ar-IQ"/>
        </w:rPr>
        <w:lastRenderedPageBreak/>
        <w:t xml:space="preserve">with  results of the other techniques. Of the 30 ICG positive cases, there were 24 (80%) RT-PCR positive cases, 24 (80%) AFB smear positive cases and 11 (37%) culture positive cases. </w:t>
      </w:r>
    </w:p>
    <w:p w:rsidR="000312AC" w:rsidRPr="00861683" w:rsidRDefault="000312AC" w:rsidP="00861683">
      <w:pPr>
        <w:spacing w:after="0" w:line="240" w:lineRule="auto"/>
        <w:ind w:firstLine="284"/>
        <w:jc w:val="both"/>
        <w:rPr>
          <w:rFonts w:asciiTheme="majorBidi" w:hAnsiTheme="majorBidi" w:cstheme="majorBidi"/>
          <w:sz w:val="24"/>
          <w:szCs w:val="24"/>
          <w:lang w:bidi="ar-IQ"/>
        </w:rPr>
      </w:pPr>
      <w:r w:rsidRPr="00861683">
        <w:rPr>
          <w:rFonts w:asciiTheme="majorBidi" w:hAnsiTheme="majorBidi" w:cstheme="majorBidi"/>
          <w:sz w:val="24"/>
          <w:szCs w:val="24"/>
          <w:lang w:bidi="ar-IQ"/>
        </w:rPr>
        <w:t xml:space="preserve">Out of the 12 extra-pulmonary TB cases, There were 6 (50%) ICG positive PTB cases  </w:t>
      </w:r>
      <w:r w:rsidRPr="00861683">
        <w:rPr>
          <w:rFonts w:asciiTheme="majorBidi" w:hAnsiTheme="majorBidi" w:cstheme="majorBidi"/>
          <w:sz w:val="24"/>
          <w:szCs w:val="24"/>
          <w:rtl/>
          <w:lang w:bidi="ar-IQ"/>
        </w:rPr>
        <w:t>"</w:t>
      </w:r>
      <w:r w:rsidRPr="00861683">
        <w:rPr>
          <w:rFonts w:asciiTheme="majorBidi" w:hAnsiTheme="majorBidi" w:cstheme="majorBidi"/>
          <w:sz w:val="24"/>
          <w:szCs w:val="24"/>
          <w:lang w:bidi="ar-IQ"/>
        </w:rPr>
        <w:t>Table 1</w:t>
      </w:r>
      <w:r w:rsidRPr="00861683">
        <w:rPr>
          <w:rFonts w:asciiTheme="majorBidi" w:hAnsiTheme="majorBidi" w:cstheme="majorBidi"/>
          <w:sz w:val="24"/>
          <w:szCs w:val="24"/>
          <w:rtl/>
          <w:lang w:bidi="ar-IQ"/>
        </w:rPr>
        <w:t>"</w:t>
      </w:r>
      <w:r w:rsidRPr="00861683">
        <w:rPr>
          <w:rFonts w:asciiTheme="majorBidi" w:hAnsiTheme="majorBidi" w:cstheme="majorBidi"/>
          <w:sz w:val="24"/>
          <w:szCs w:val="24"/>
          <w:lang w:bidi="ar-IQ"/>
        </w:rPr>
        <w:t xml:space="preserve">. The sputum samples of those extra-pulmonary TB cases were negative for AFB smear, RT-PCR and culture.   </w:t>
      </w:r>
    </w:p>
    <w:p w:rsidR="000312AC" w:rsidRPr="00861683" w:rsidRDefault="00771EA3" w:rsidP="00861683">
      <w:pPr>
        <w:spacing w:after="0" w:line="240" w:lineRule="auto"/>
        <w:jc w:val="both"/>
        <w:rPr>
          <w:rFonts w:asciiTheme="majorBidi" w:hAnsiTheme="majorBidi" w:cstheme="majorBidi"/>
          <w:b/>
          <w:bCs/>
          <w:sz w:val="24"/>
          <w:szCs w:val="24"/>
          <w:lang w:bidi="ar-IQ"/>
        </w:rPr>
      </w:pPr>
      <w:r w:rsidRPr="00861683">
        <w:rPr>
          <w:rFonts w:asciiTheme="majorBidi" w:hAnsiTheme="majorBidi" w:cstheme="majorBidi"/>
          <w:b/>
          <w:bCs/>
          <w:sz w:val="24"/>
          <w:szCs w:val="24"/>
          <w:lang w:bidi="ar-IQ"/>
        </w:rPr>
        <w:t xml:space="preserve">Sensitivity, Specificity And Accuracy Of The Laboratory Diagnosis Techniques  </w:t>
      </w:r>
    </w:p>
    <w:p w:rsidR="000312AC" w:rsidRPr="00861683" w:rsidRDefault="000312AC" w:rsidP="00861683">
      <w:pPr>
        <w:spacing w:after="0" w:line="240" w:lineRule="auto"/>
        <w:ind w:firstLine="284"/>
        <w:jc w:val="both"/>
        <w:rPr>
          <w:rFonts w:asciiTheme="majorBidi" w:hAnsiTheme="majorBidi" w:cstheme="majorBidi"/>
          <w:sz w:val="24"/>
          <w:szCs w:val="24"/>
          <w:lang w:bidi="ar-IQ"/>
        </w:rPr>
      </w:pPr>
      <w:r w:rsidRPr="00861683">
        <w:rPr>
          <w:rFonts w:asciiTheme="majorBidi" w:hAnsiTheme="majorBidi" w:cstheme="majorBidi"/>
          <w:sz w:val="24"/>
          <w:szCs w:val="24"/>
          <w:lang w:bidi="ar-IQ"/>
        </w:rPr>
        <w:t xml:space="preserve">Regarding </w:t>
      </w:r>
      <w:r w:rsidR="000749CD" w:rsidRPr="00861683">
        <w:rPr>
          <w:rFonts w:asciiTheme="majorBidi" w:hAnsiTheme="majorBidi" w:cstheme="majorBidi"/>
          <w:sz w:val="24"/>
          <w:szCs w:val="24"/>
          <w:lang w:bidi="ar-IQ"/>
        </w:rPr>
        <w:t xml:space="preserve">to </w:t>
      </w:r>
      <w:r w:rsidRPr="00861683">
        <w:rPr>
          <w:rFonts w:asciiTheme="majorBidi" w:hAnsiTheme="majorBidi" w:cstheme="majorBidi"/>
          <w:sz w:val="24"/>
          <w:szCs w:val="24"/>
          <w:lang w:bidi="ar-IQ"/>
        </w:rPr>
        <w:t xml:space="preserve">the confirmed 124 PTB cases in this study, the sensitivity of the AFB smear, culture, RT-PCR and ICG were 74%, 43% 88% and 24%, respectively. The specificity of the AFB, Culture and RT-PCR were 100% </w:t>
      </w:r>
      <w:r w:rsidR="00F86933" w:rsidRPr="00861683">
        <w:rPr>
          <w:rFonts w:asciiTheme="majorBidi" w:hAnsiTheme="majorBidi" w:cstheme="majorBidi"/>
          <w:sz w:val="24"/>
          <w:szCs w:val="24"/>
          <w:lang w:bidi="ar-IQ"/>
        </w:rPr>
        <w:t>whereas</w:t>
      </w:r>
      <w:r w:rsidRPr="00861683">
        <w:rPr>
          <w:rFonts w:asciiTheme="majorBidi" w:hAnsiTheme="majorBidi" w:cstheme="majorBidi"/>
          <w:sz w:val="24"/>
          <w:szCs w:val="24"/>
          <w:lang w:bidi="ar-IQ"/>
        </w:rPr>
        <w:t xml:space="preserve"> the specificity of ICG assay give 98% due to 2 false positive results among the 102 control subjects. Therefore the accuracy (93%) were obtained from RT-PCR results followed by AFB smear (85%) </w:t>
      </w:r>
      <w:r w:rsidR="000749CD" w:rsidRPr="00861683">
        <w:rPr>
          <w:rFonts w:asciiTheme="majorBidi" w:hAnsiTheme="majorBidi" w:cstheme="majorBidi"/>
          <w:sz w:val="24"/>
          <w:szCs w:val="24"/>
          <w:lang w:bidi="ar-IQ"/>
        </w:rPr>
        <w:t>as shown in</w:t>
      </w:r>
      <w:r w:rsidRPr="00861683">
        <w:rPr>
          <w:rFonts w:asciiTheme="majorBidi" w:hAnsiTheme="majorBidi" w:cstheme="majorBidi"/>
          <w:sz w:val="24"/>
          <w:szCs w:val="24"/>
          <w:lang w:bidi="ar-IQ"/>
        </w:rPr>
        <w:t xml:space="preserve"> </w:t>
      </w:r>
      <w:r w:rsidRPr="00861683">
        <w:rPr>
          <w:rFonts w:asciiTheme="majorBidi" w:hAnsiTheme="majorBidi" w:cstheme="majorBidi"/>
          <w:sz w:val="24"/>
          <w:szCs w:val="24"/>
          <w:rtl/>
          <w:lang w:bidi="ar-IQ"/>
        </w:rPr>
        <w:t>"</w:t>
      </w:r>
      <w:r w:rsidRPr="00861683">
        <w:rPr>
          <w:rFonts w:asciiTheme="majorBidi" w:hAnsiTheme="majorBidi" w:cstheme="majorBidi"/>
          <w:sz w:val="24"/>
          <w:szCs w:val="24"/>
          <w:lang w:bidi="ar-IQ"/>
        </w:rPr>
        <w:t>Table 6</w:t>
      </w:r>
      <w:r w:rsidRPr="00861683">
        <w:rPr>
          <w:rFonts w:asciiTheme="majorBidi" w:hAnsiTheme="majorBidi" w:cstheme="majorBidi"/>
          <w:sz w:val="24"/>
          <w:szCs w:val="24"/>
          <w:rtl/>
          <w:lang w:bidi="ar-IQ"/>
        </w:rPr>
        <w:t>"</w:t>
      </w:r>
      <w:r w:rsidRPr="00861683">
        <w:rPr>
          <w:rFonts w:asciiTheme="majorBidi" w:hAnsiTheme="majorBidi" w:cstheme="majorBidi"/>
          <w:sz w:val="24"/>
          <w:szCs w:val="24"/>
          <w:lang w:bidi="ar-IQ"/>
        </w:rPr>
        <w:t xml:space="preserve">. By using both AFB smear and RT-PCR as diagnostic tests raises the sensitivity up to 99% as compared with the using of the AFB smear, culture and ICG as a single test (fig:1). </w:t>
      </w:r>
    </w:p>
    <w:p w:rsidR="000312AC" w:rsidRPr="00861683" w:rsidRDefault="000312AC" w:rsidP="00861683">
      <w:pPr>
        <w:spacing w:after="0" w:line="240" w:lineRule="auto"/>
        <w:ind w:firstLine="284"/>
        <w:jc w:val="both"/>
        <w:rPr>
          <w:rFonts w:asciiTheme="majorBidi" w:hAnsiTheme="majorBidi" w:cstheme="majorBidi"/>
          <w:sz w:val="24"/>
          <w:szCs w:val="24"/>
          <w:lang w:bidi="ar-IQ"/>
        </w:rPr>
      </w:pPr>
      <w:r w:rsidRPr="00861683">
        <w:rPr>
          <w:rFonts w:asciiTheme="majorBidi" w:hAnsiTheme="majorBidi" w:cstheme="majorBidi"/>
          <w:sz w:val="24"/>
          <w:szCs w:val="24"/>
          <w:lang w:bidi="ar-IQ"/>
        </w:rPr>
        <w:t xml:space="preserve">When the culture was considered the gold standard (only culture positive cases included), the AFB smear, RT-PCR and ICG sensitivities were 77.8%, 92.6% and 40.7%, respectively. </w:t>
      </w:r>
      <w:r w:rsidR="000749CD" w:rsidRPr="00861683">
        <w:rPr>
          <w:rFonts w:asciiTheme="majorBidi" w:hAnsiTheme="majorBidi" w:cstheme="majorBidi"/>
          <w:sz w:val="24"/>
          <w:szCs w:val="24"/>
          <w:lang w:bidi="ar-IQ"/>
        </w:rPr>
        <w:t>On the other hand</w:t>
      </w:r>
      <w:r w:rsidRPr="00861683">
        <w:rPr>
          <w:rFonts w:asciiTheme="majorBidi" w:hAnsiTheme="majorBidi" w:cstheme="majorBidi"/>
          <w:sz w:val="24"/>
          <w:szCs w:val="24"/>
          <w:lang w:bidi="ar-IQ"/>
        </w:rPr>
        <w:t>, the RT-PCR exhibited  accuracy (97%) as compared with AFB smear ( 92%) and the ICG (78%) (table 7).</w:t>
      </w:r>
    </w:p>
    <w:p w:rsidR="00CC6103" w:rsidRDefault="00CC6103" w:rsidP="00861683">
      <w:pPr>
        <w:pStyle w:val="1"/>
        <w:numPr>
          <w:ilvl w:val="0"/>
          <w:numId w:val="0"/>
        </w:numPr>
        <w:spacing w:before="0" w:after="0"/>
        <w:jc w:val="left"/>
        <w:rPr>
          <w:rFonts w:asciiTheme="majorBidi" w:eastAsia="Calibri" w:hAnsiTheme="majorBidi" w:cstheme="majorBidi"/>
          <w:b/>
          <w:bCs/>
          <w:smallCaps w:val="0"/>
          <w:kern w:val="0"/>
          <w:sz w:val="24"/>
          <w:szCs w:val="24"/>
          <w:u w:val="single"/>
          <w:lang w:bidi="ar-IQ"/>
        </w:rPr>
      </w:pPr>
    </w:p>
    <w:p w:rsidR="000312AC" w:rsidRPr="00861683" w:rsidRDefault="003579E7" w:rsidP="00861683">
      <w:pPr>
        <w:pStyle w:val="1"/>
        <w:numPr>
          <w:ilvl w:val="0"/>
          <w:numId w:val="0"/>
        </w:numPr>
        <w:spacing w:before="0" w:after="0"/>
        <w:jc w:val="left"/>
        <w:rPr>
          <w:rFonts w:asciiTheme="majorBidi" w:eastAsia="Calibri" w:hAnsiTheme="majorBidi" w:cstheme="majorBidi"/>
          <w:b/>
          <w:bCs/>
          <w:smallCaps w:val="0"/>
          <w:kern w:val="0"/>
          <w:sz w:val="24"/>
          <w:szCs w:val="24"/>
          <w:u w:val="single"/>
          <w:lang w:bidi="ar-IQ"/>
        </w:rPr>
      </w:pPr>
      <w:r w:rsidRPr="00861683">
        <w:rPr>
          <w:rFonts w:asciiTheme="majorBidi" w:eastAsia="Calibri" w:hAnsiTheme="majorBidi" w:cstheme="majorBidi"/>
          <w:b/>
          <w:bCs/>
          <w:smallCaps w:val="0"/>
          <w:kern w:val="0"/>
          <w:sz w:val="24"/>
          <w:szCs w:val="24"/>
          <w:u w:val="single"/>
          <w:lang w:bidi="ar-IQ"/>
        </w:rPr>
        <w:t>Discussion</w:t>
      </w:r>
    </w:p>
    <w:p w:rsidR="000312AC" w:rsidRPr="00861683" w:rsidRDefault="000312AC" w:rsidP="00861683">
      <w:pPr>
        <w:spacing w:after="0" w:line="240" w:lineRule="auto"/>
        <w:ind w:firstLine="284"/>
        <w:jc w:val="both"/>
        <w:rPr>
          <w:rFonts w:asciiTheme="majorBidi" w:hAnsiTheme="majorBidi" w:cstheme="majorBidi"/>
          <w:sz w:val="24"/>
          <w:szCs w:val="24"/>
          <w:lang w:bidi="ar-IQ"/>
        </w:rPr>
      </w:pPr>
      <w:r w:rsidRPr="00861683">
        <w:rPr>
          <w:rFonts w:asciiTheme="majorBidi" w:hAnsiTheme="majorBidi" w:cstheme="majorBidi"/>
          <w:sz w:val="24"/>
          <w:szCs w:val="24"/>
          <w:lang w:bidi="ar-IQ"/>
        </w:rPr>
        <w:t xml:space="preserve">A variety of NAA-based assays has been commercially developed for detection of MTBC and NTM from clinical specimens and are now widely used in clinical microbiology laboratories. In particular, the use of real-time PCR assay for the detection </w:t>
      </w:r>
      <w:r w:rsidRPr="00861683">
        <w:rPr>
          <w:rFonts w:asciiTheme="majorBidi" w:hAnsiTheme="majorBidi" w:cstheme="majorBidi"/>
          <w:sz w:val="24"/>
          <w:szCs w:val="24"/>
          <w:lang w:bidi="ar-IQ"/>
        </w:rPr>
        <w:lastRenderedPageBreak/>
        <w:t>of microorganisms has been increasing, replacing conventional PCR that uses agarose gel electrophoresis for identification of PCR products. Th</w:t>
      </w:r>
      <w:r w:rsidR="002D1DCC" w:rsidRPr="00861683">
        <w:rPr>
          <w:rFonts w:asciiTheme="majorBidi" w:hAnsiTheme="majorBidi" w:cstheme="majorBidi"/>
          <w:sz w:val="24"/>
          <w:szCs w:val="24"/>
          <w:lang w:bidi="ar-IQ"/>
        </w:rPr>
        <w:t>is</w:t>
      </w:r>
      <w:r w:rsidRPr="00861683">
        <w:rPr>
          <w:rFonts w:asciiTheme="majorBidi" w:hAnsiTheme="majorBidi" w:cstheme="majorBidi"/>
          <w:sz w:val="24"/>
          <w:szCs w:val="24"/>
          <w:lang w:bidi="ar-IQ"/>
        </w:rPr>
        <w:t xml:space="preserve"> assays have the advantage of a low contamination risk and simultaneous identification of multiple targets </w:t>
      </w:r>
      <w:fldSimple w:instr=" REF _Ref337286778 \r \h  \* MERGEFORMAT ">
        <w:r w:rsidR="00756FFD" w:rsidRPr="00861683">
          <w:rPr>
            <w:rFonts w:asciiTheme="majorBidi" w:hAnsiTheme="majorBidi" w:cstheme="majorBidi"/>
            <w:sz w:val="24"/>
            <w:szCs w:val="24"/>
            <w:lang w:bidi="ar-IQ"/>
          </w:rPr>
          <w:t>[12]</w:t>
        </w:r>
      </w:fldSimple>
      <w:r w:rsidRPr="00861683">
        <w:rPr>
          <w:rFonts w:asciiTheme="majorBidi" w:hAnsiTheme="majorBidi" w:cstheme="majorBidi"/>
          <w:sz w:val="24"/>
          <w:szCs w:val="24"/>
          <w:lang w:bidi="ar-IQ"/>
        </w:rPr>
        <w:t>.</w:t>
      </w:r>
    </w:p>
    <w:p w:rsidR="000312AC" w:rsidRPr="00861683" w:rsidRDefault="000312AC" w:rsidP="00861683">
      <w:pPr>
        <w:spacing w:after="0" w:line="240" w:lineRule="auto"/>
        <w:ind w:firstLine="284"/>
        <w:jc w:val="both"/>
        <w:rPr>
          <w:rFonts w:asciiTheme="majorBidi" w:hAnsiTheme="majorBidi" w:cstheme="majorBidi"/>
          <w:sz w:val="24"/>
          <w:szCs w:val="24"/>
          <w:lang w:bidi="ar-IQ"/>
        </w:rPr>
      </w:pPr>
      <w:r w:rsidRPr="00861683">
        <w:rPr>
          <w:rFonts w:asciiTheme="majorBidi" w:hAnsiTheme="majorBidi" w:cstheme="majorBidi"/>
          <w:sz w:val="24"/>
          <w:szCs w:val="24"/>
          <w:lang w:bidi="ar-IQ"/>
        </w:rPr>
        <w:t xml:space="preserve">The better sensitivity reported in this study was the RT-PCR 88% in confirmed PTB cases and 92.6% in culture positive PTB cases, the specificity was 100%  (tables 6&amp;7). These results are with an accordance with those results being reported by Inoue </w:t>
      </w:r>
      <w:r w:rsidRPr="00861683">
        <w:rPr>
          <w:rFonts w:asciiTheme="majorBidi" w:hAnsiTheme="majorBidi" w:cstheme="majorBidi"/>
          <w:i/>
          <w:iCs/>
          <w:sz w:val="24"/>
          <w:szCs w:val="24"/>
          <w:lang w:bidi="ar-IQ"/>
        </w:rPr>
        <w:t xml:space="preserve">et al. </w:t>
      </w:r>
      <w:r w:rsidR="007816C8" w:rsidRPr="00861683">
        <w:rPr>
          <w:rFonts w:asciiTheme="majorBidi" w:hAnsiTheme="majorBidi" w:cstheme="majorBidi"/>
          <w:sz w:val="24"/>
          <w:szCs w:val="24"/>
          <w:lang w:bidi="ar-IQ"/>
        </w:rPr>
        <w:t xml:space="preserve">was </w:t>
      </w:r>
      <w:r w:rsidRPr="00861683">
        <w:rPr>
          <w:rFonts w:asciiTheme="majorBidi" w:hAnsiTheme="majorBidi" w:cstheme="majorBidi"/>
          <w:sz w:val="24"/>
          <w:szCs w:val="24"/>
          <w:lang w:bidi="ar-IQ"/>
        </w:rPr>
        <w:t xml:space="preserve">stated that the  real-time PCR assay with an internal control achieved a sensitivity of 84% and specificity of 97% </w:t>
      </w:r>
      <w:r w:rsidR="00061D14" w:rsidRPr="00861683">
        <w:rPr>
          <w:rFonts w:asciiTheme="majorBidi" w:hAnsiTheme="majorBidi" w:cstheme="majorBidi"/>
          <w:sz w:val="24"/>
          <w:szCs w:val="24"/>
        </w:rPr>
        <w:fldChar w:fldCharType="begin"/>
      </w:r>
      <w:r w:rsidR="0015764B" w:rsidRPr="00861683">
        <w:rPr>
          <w:rFonts w:asciiTheme="majorBidi" w:hAnsiTheme="majorBidi" w:cstheme="majorBidi"/>
          <w:sz w:val="24"/>
          <w:szCs w:val="24"/>
        </w:rPr>
        <w:instrText xml:space="preserve"> REF _Ref337286788 \r \h  \* MERGEFORMAT </w:instrText>
      </w:r>
      <w:r w:rsidR="00061D14" w:rsidRPr="00861683">
        <w:rPr>
          <w:rFonts w:asciiTheme="majorBidi" w:hAnsiTheme="majorBidi" w:cstheme="majorBidi"/>
          <w:sz w:val="24"/>
          <w:szCs w:val="24"/>
        </w:rPr>
      </w:r>
      <w:r w:rsidR="00061D14" w:rsidRPr="00861683">
        <w:rPr>
          <w:rFonts w:asciiTheme="majorBidi" w:hAnsiTheme="majorBidi" w:cstheme="majorBidi"/>
          <w:sz w:val="24"/>
          <w:szCs w:val="24"/>
        </w:rPr>
        <w:fldChar w:fldCharType="separate"/>
      </w:r>
      <w:proofErr w:type="spellStart"/>
      <w:r w:rsidR="00756FFD" w:rsidRPr="00861683">
        <w:rPr>
          <w:rFonts w:asciiTheme="majorBidi" w:hAnsiTheme="majorBidi" w:cstheme="majorBidi"/>
          <w:sz w:val="24"/>
          <w:szCs w:val="24"/>
          <w:cs/>
          <w:lang w:bidi="ar-IQ"/>
        </w:rPr>
        <w:t>‎</w:t>
      </w:r>
      <w:proofErr w:type="spellEnd"/>
      <w:r w:rsidR="00756FFD" w:rsidRPr="00861683">
        <w:rPr>
          <w:rFonts w:asciiTheme="majorBidi" w:hAnsiTheme="majorBidi" w:cstheme="majorBidi"/>
          <w:sz w:val="24"/>
          <w:szCs w:val="24"/>
          <w:lang w:bidi="ar-IQ"/>
        </w:rPr>
        <w:t>[13]</w:t>
      </w:r>
      <w:r w:rsidR="00061D14" w:rsidRPr="00861683">
        <w:rPr>
          <w:rFonts w:asciiTheme="majorBidi" w:hAnsiTheme="majorBidi" w:cstheme="majorBidi"/>
          <w:sz w:val="24"/>
          <w:szCs w:val="24"/>
        </w:rPr>
        <w:fldChar w:fldCharType="end"/>
      </w:r>
      <w:r w:rsidRPr="00861683">
        <w:rPr>
          <w:rFonts w:asciiTheme="majorBidi" w:hAnsiTheme="majorBidi" w:cstheme="majorBidi"/>
          <w:sz w:val="24"/>
          <w:szCs w:val="24"/>
          <w:lang w:bidi="ar-IQ"/>
        </w:rPr>
        <w:t xml:space="preserve">. </w:t>
      </w:r>
    </w:p>
    <w:p w:rsidR="000312AC" w:rsidRPr="00861683" w:rsidRDefault="000312AC" w:rsidP="00861683">
      <w:pPr>
        <w:spacing w:after="0" w:line="240" w:lineRule="auto"/>
        <w:ind w:firstLine="284"/>
        <w:jc w:val="both"/>
        <w:rPr>
          <w:rFonts w:asciiTheme="majorBidi" w:hAnsiTheme="majorBidi" w:cstheme="majorBidi"/>
          <w:sz w:val="24"/>
          <w:szCs w:val="24"/>
          <w:lang w:bidi="ar-IQ"/>
        </w:rPr>
      </w:pPr>
      <w:r w:rsidRPr="00861683">
        <w:rPr>
          <w:rFonts w:asciiTheme="majorBidi" w:hAnsiTheme="majorBidi" w:cstheme="majorBidi"/>
          <w:sz w:val="24"/>
          <w:szCs w:val="24"/>
          <w:lang w:bidi="ar-IQ"/>
        </w:rPr>
        <w:t>The PCR based method of MTBC enables detection of as few as 1 to 10 bacilli in clinical specimen such as sputum and other body fluids. Relative to smear, which requires a relatively large bacilli load (10</w:t>
      </w:r>
      <w:r w:rsidRPr="00861683">
        <w:rPr>
          <w:rFonts w:asciiTheme="majorBidi" w:hAnsiTheme="majorBidi" w:cstheme="majorBidi"/>
          <w:sz w:val="24"/>
          <w:szCs w:val="24"/>
          <w:vertAlign w:val="superscript"/>
          <w:lang w:bidi="ar-IQ"/>
        </w:rPr>
        <w:t>4</w:t>
      </w:r>
      <w:r w:rsidRPr="00861683">
        <w:rPr>
          <w:rFonts w:asciiTheme="majorBidi" w:hAnsiTheme="majorBidi" w:cstheme="majorBidi"/>
          <w:sz w:val="24"/>
          <w:szCs w:val="24"/>
          <w:lang w:bidi="ar-IQ"/>
        </w:rPr>
        <w:t xml:space="preserve">/mL) and also identifies other acid-fast bacteria, the approach has significantly enhance the sensitivity and specificity of laboratory diagnosis </w:t>
      </w:r>
      <w:fldSimple w:instr=" REF _Ref337286801 \r \h  \* MERGEFORMAT ">
        <w:r w:rsidR="00756FFD" w:rsidRPr="00861683">
          <w:rPr>
            <w:rFonts w:asciiTheme="majorBidi" w:hAnsiTheme="majorBidi" w:cstheme="majorBidi"/>
            <w:sz w:val="24"/>
            <w:szCs w:val="24"/>
            <w:lang w:bidi="ar-IQ"/>
          </w:rPr>
          <w:t>[14]</w:t>
        </w:r>
      </w:fldSimple>
      <w:r w:rsidRPr="00861683">
        <w:rPr>
          <w:rFonts w:asciiTheme="majorBidi" w:hAnsiTheme="majorBidi" w:cstheme="majorBidi"/>
          <w:sz w:val="24"/>
          <w:szCs w:val="24"/>
          <w:lang w:bidi="ar-IQ"/>
        </w:rPr>
        <w:t>. In addition, the tests can be performed within a few hours, making them attractive against culture for rapid diagnosis</w:t>
      </w:r>
      <w:fldSimple w:instr=" REF _Ref337286814 \r \h  \* MERGEFORMAT ">
        <w:r w:rsidR="00756FFD" w:rsidRPr="00861683">
          <w:rPr>
            <w:rFonts w:asciiTheme="majorBidi" w:hAnsiTheme="majorBidi" w:cstheme="majorBidi"/>
            <w:sz w:val="24"/>
            <w:szCs w:val="24"/>
            <w:lang w:bidi="ar-IQ"/>
          </w:rPr>
          <w:t>[15]</w:t>
        </w:r>
      </w:fldSimple>
      <w:r w:rsidRPr="00861683">
        <w:rPr>
          <w:rFonts w:asciiTheme="majorBidi" w:hAnsiTheme="majorBidi" w:cstheme="majorBidi"/>
          <w:sz w:val="24"/>
          <w:szCs w:val="24"/>
          <w:lang w:bidi="ar-IQ"/>
        </w:rPr>
        <w:t xml:space="preserve">. </w:t>
      </w:r>
    </w:p>
    <w:p w:rsidR="000312AC" w:rsidRPr="00861683" w:rsidRDefault="000312AC" w:rsidP="00861683">
      <w:pPr>
        <w:spacing w:after="0" w:line="240" w:lineRule="auto"/>
        <w:ind w:firstLine="284"/>
        <w:jc w:val="both"/>
        <w:rPr>
          <w:rFonts w:asciiTheme="majorBidi" w:hAnsiTheme="majorBidi" w:cstheme="majorBidi"/>
          <w:sz w:val="24"/>
          <w:szCs w:val="24"/>
          <w:lang w:bidi="ar-IQ"/>
        </w:rPr>
      </w:pPr>
      <w:r w:rsidRPr="00861683">
        <w:rPr>
          <w:rFonts w:asciiTheme="majorBidi" w:hAnsiTheme="majorBidi" w:cstheme="majorBidi"/>
          <w:sz w:val="24"/>
          <w:szCs w:val="24"/>
          <w:lang w:bidi="ar-IQ"/>
        </w:rPr>
        <w:t xml:space="preserve">It has been reported that the sensitivity and specificity of PCR ranges from 50 to 100%. It has been suggested that this wide range may be due to the variability of PCR results in different laboratories </w:t>
      </w:r>
      <w:r w:rsidR="00061D14" w:rsidRPr="00861683">
        <w:rPr>
          <w:rFonts w:asciiTheme="majorBidi" w:hAnsiTheme="majorBidi" w:cstheme="majorBidi"/>
          <w:sz w:val="24"/>
          <w:szCs w:val="24"/>
        </w:rPr>
        <w:fldChar w:fldCharType="begin"/>
      </w:r>
      <w:r w:rsidR="0015764B" w:rsidRPr="00861683">
        <w:rPr>
          <w:rFonts w:asciiTheme="majorBidi" w:hAnsiTheme="majorBidi" w:cstheme="majorBidi"/>
          <w:sz w:val="24"/>
          <w:szCs w:val="24"/>
        </w:rPr>
        <w:instrText xml:space="preserve"> REF _Ref337286826 \r \h  \* MERGEFORMAT </w:instrText>
      </w:r>
      <w:r w:rsidR="00061D14" w:rsidRPr="00861683">
        <w:rPr>
          <w:rFonts w:asciiTheme="majorBidi" w:hAnsiTheme="majorBidi" w:cstheme="majorBidi"/>
          <w:sz w:val="24"/>
          <w:szCs w:val="24"/>
        </w:rPr>
      </w:r>
      <w:r w:rsidR="00061D14" w:rsidRPr="00861683">
        <w:rPr>
          <w:rFonts w:asciiTheme="majorBidi" w:hAnsiTheme="majorBidi" w:cstheme="majorBidi"/>
          <w:sz w:val="24"/>
          <w:szCs w:val="24"/>
        </w:rPr>
        <w:fldChar w:fldCharType="separate"/>
      </w:r>
      <w:proofErr w:type="spellStart"/>
      <w:r w:rsidR="00756FFD" w:rsidRPr="00861683">
        <w:rPr>
          <w:rFonts w:asciiTheme="majorBidi" w:hAnsiTheme="majorBidi" w:cstheme="majorBidi"/>
          <w:sz w:val="24"/>
          <w:szCs w:val="24"/>
          <w:cs/>
          <w:lang w:bidi="ar-IQ"/>
        </w:rPr>
        <w:t>‎</w:t>
      </w:r>
      <w:proofErr w:type="spellEnd"/>
      <w:r w:rsidR="00756FFD" w:rsidRPr="00861683">
        <w:rPr>
          <w:rFonts w:asciiTheme="majorBidi" w:hAnsiTheme="majorBidi" w:cstheme="majorBidi"/>
          <w:sz w:val="24"/>
          <w:szCs w:val="24"/>
          <w:lang w:bidi="ar-IQ"/>
        </w:rPr>
        <w:t>[16]</w:t>
      </w:r>
      <w:r w:rsidR="00061D14" w:rsidRPr="00861683">
        <w:rPr>
          <w:rFonts w:asciiTheme="majorBidi" w:hAnsiTheme="majorBidi" w:cstheme="majorBidi"/>
          <w:sz w:val="24"/>
          <w:szCs w:val="24"/>
        </w:rPr>
        <w:fldChar w:fldCharType="end"/>
      </w:r>
      <w:r w:rsidRPr="00861683">
        <w:rPr>
          <w:rFonts w:asciiTheme="majorBidi" w:hAnsiTheme="majorBidi" w:cstheme="majorBidi"/>
          <w:sz w:val="24"/>
          <w:szCs w:val="24"/>
          <w:lang w:bidi="ar-IQ"/>
        </w:rPr>
        <w:t>.</w:t>
      </w:r>
    </w:p>
    <w:p w:rsidR="000312AC" w:rsidRPr="00861683" w:rsidRDefault="000312AC" w:rsidP="00861683">
      <w:pPr>
        <w:spacing w:after="0" w:line="240" w:lineRule="auto"/>
        <w:ind w:firstLine="284"/>
        <w:jc w:val="both"/>
        <w:rPr>
          <w:rFonts w:asciiTheme="majorBidi" w:hAnsiTheme="majorBidi" w:cstheme="majorBidi"/>
          <w:sz w:val="24"/>
          <w:szCs w:val="24"/>
          <w:lang w:bidi="ar-IQ"/>
        </w:rPr>
      </w:pPr>
      <w:r w:rsidRPr="00861683">
        <w:rPr>
          <w:rFonts w:asciiTheme="majorBidi" w:hAnsiTheme="majorBidi" w:cstheme="majorBidi"/>
          <w:sz w:val="24"/>
          <w:szCs w:val="24"/>
          <w:lang w:bidi="ar-IQ"/>
        </w:rPr>
        <w:t>In laboratory trials of the FDA-approved TB diagnostic PCR assays, sensitivity in respiratory specimen has ranged from 50% to 95%, and specifici</w:t>
      </w:r>
      <w:r w:rsidR="00CC6103">
        <w:rPr>
          <w:rFonts w:asciiTheme="majorBidi" w:hAnsiTheme="majorBidi" w:cstheme="majorBidi"/>
          <w:sz w:val="24"/>
          <w:szCs w:val="24"/>
          <w:lang w:bidi="ar-IQ"/>
        </w:rPr>
        <w:t xml:space="preserve">ty has ranged from 95% to 100% </w:t>
      </w:r>
      <w:r w:rsidR="00061D14" w:rsidRPr="00861683">
        <w:rPr>
          <w:rFonts w:asciiTheme="majorBidi" w:hAnsiTheme="majorBidi" w:cstheme="majorBidi"/>
          <w:sz w:val="24"/>
          <w:szCs w:val="24"/>
        </w:rPr>
        <w:fldChar w:fldCharType="begin"/>
      </w:r>
      <w:r w:rsidR="0015764B" w:rsidRPr="00861683">
        <w:rPr>
          <w:rFonts w:asciiTheme="majorBidi" w:hAnsiTheme="majorBidi" w:cstheme="majorBidi"/>
          <w:sz w:val="24"/>
          <w:szCs w:val="24"/>
        </w:rPr>
        <w:instrText xml:space="preserve"> REF _Ref337286555 \r \h  \* MERGEFORMAT </w:instrText>
      </w:r>
      <w:r w:rsidR="00061D14" w:rsidRPr="00861683">
        <w:rPr>
          <w:rFonts w:asciiTheme="majorBidi" w:hAnsiTheme="majorBidi" w:cstheme="majorBidi"/>
          <w:sz w:val="24"/>
          <w:szCs w:val="24"/>
        </w:rPr>
      </w:r>
      <w:r w:rsidR="00061D14" w:rsidRPr="00861683">
        <w:rPr>
          <w:rFonts w:asciiTheme="majorBidi" w:hAnsiTheme="majorBidi" w:cstheme="majorBidi"/>
          <w:sz w:val="24"/>
          <w:szCs w:val="24"/>
        </w:rPr>
        <w:fldChar w:fldCharType="separate"/>
      </w:r>
      <w:proofErr w:type="spellStart"/>
      <w:r w:rsidR="00756FFD" w:rsidRPr="00861683">
        <w:rPr>
          <w:rFonts w:asciiTheme="majorBidi" w:hAnsiTheme="majorBidi" w:cstheme="majorBidi"/>
          <w:sz w:val="24"/>
          <w:szCs w:val="24"/>
          <w:cs/>
          <w:lang w:bidi="ar-IQ"/>
        </w:rPr>
        <w:t>‎</w:t>
      </w:r>
      <w:proofErr w:type="spellEnd"/>
      <w:r w:rsidR="00756FFD" w:rsidRPr="00861683">
        <w:rPr>
          <w:rFonts w:asciiTheme="majorBidi" w:hAnsiTheme="majorBidi" w:cstheme="majorBidi"/>
          <w:sz w:val="24"/>
          <w:szCs w:val="24"/>
          <w:lang w:bidi="ar-IQ"/>
        </w:rPr>
        <w:t>[2]</w:t>
      </w:r>
      <w:r w:rsidR="00061D14" w:rsidRPr="00861683">
        <w:rPr>
          <w:rFonts w:asciiTheme="majorBidi" w:hAnsiTheme="majorBidi" w:cstheme="majorBidi"/>
          <w:sz w:val="24"/>
          <w:szCs w:val="24"/>
        </w:rPr>
        <w:fldChar w:fldCharType="end"/>
      </w:r>
      <w:r w:rsidRPr="00861683">
        <w:rPr>
          <w:rFonts w:asciiTheme="majorBidi" w:hAnsiTheme="majorBidi" w:cstheme="majorBidi"/>
          <w:sz w:val="24"/>
          <w:szCs w:val="24"/>
          <w:lang w:bidi="ar-IQ"/>
        </w:rPr>
        <w:t xml:space="preserve">. A meta-analysis combining all formats (n=125 studies) estimated overall sensitivity of 85% and specificity of 97% </w:t>
      </w:r>
      <w:fldSimple w:instr=" REF _Ref337286960 \r \h  \* MERGEFORMAT ">
        <w:r w:rsidR="00756FFD" w:rsidRPr="00861683">
          <w:rPr>
            <w:rFonts w:asciiTheme="majorBidi" w:hAnsiTheme="majorBidi" w:cstheme="majorBidi"/>
            <w:sz w:val="24"/>
            <w:szCs w:val="24"/>
            <w:lang w:bidi="ar-IQ"/>
          </w:rPr>
          <w:t>[17]</w:t>
        </w:r>
      </w:fldSimple>
      <w:r w:rsidRPr="00861683">
        <w:rPr>
          <w:rFonts w:asciiTheme="majorBidi" w:hAnsiTheme="majorBidi" w:cstheme="majorBidi"/>
          <w:sz w:val="24"/>
          <w:szCs w:val="24"/>
          <w:lang w:bidi="ar-IQ"/>
        </w:rPr>
        <w:t xml:space="preserve">. PCR  specificity is consistently very high. Sensitivity is consistently highest in AFB smear-positive specimens, and </w:t>
      </w:r>
      <w:r w:rsidRPr="00861683">
        <w:rPr>
          <w:rFonts w:asciiTheme="majorBidi" w:hAnsiTheme="majorBidi" w:cstheme="majorBidi"/>
          <w:sz w:val="24"/>
          <w:szCs w:val="24"/>
          <w:lang w:bidi="ar-IQ"/>
        </w:rPr>
        <w:lastRenderedPageBreak/>
        <w:t xml:space="preserve">lowest in specimens from smear-negative </w:t>
      </w:r>
      <w:r w:rsidR="00061D14" w:rsidRPr="00861683">
        <w:rPr>
          <w:rFonts w:asciiTheme="majorBidi" w:hAnsiTheme="majorBidi" w:cstheme="majorBidi"/>
          <w:sz w:val="24"/>
          <w:szCs w:val="24"/>
        </w:rPr>
        <w:fldChar w:fldCharType="begin"/>
      </w:r>
      <w:r w:rsidR="0015764B" w:rsidRPr="00861683">
        <w:rPr>
          <w:rFonts w:asciiTheme="majorBidi" w:hAnsiTheme="majorBidi" w:cstheme="majorBidi"/>
          <w:sz w:val="24"/>
          <w:szCs w:val="24"/>
        </w:rPr>
        <w:instrText xml:space="preserve"> REF _Ref337286970 \r \h  \* MERGEFORMAT </w:instrText>
      </w:r>
      <w:r w:rsidR="00061D14" w:rsidRPr="00861683">
        <w:rPr>
          <w:rFonts w:asciiTheme="majorBidi" w:hAnsiTheme="majorBidi" w:cstheme="majorBidi"/>
          <w:sz w:val="24"/>
          <w:szCs w:val="24"/>
        </w:rPr>
      </w:r>
      <w:r w:rsidR="00061D14" w:rsidRPr="00861683">
        <w:rPr>
          <w:rFonts w:asciiTheme="majorBidi" w:hAnsiTheme="majorBidi" w:cstheme="majorBidi"/>
          <w:sz w:val="24"/>
          <w:szCs w:val="24"/>
        </w:rPr>
        <w:fldChar w:fldCharType="separate"/>
      </w:r>
      <w:proofErr w:type="spellStart"/>
      <w:r w:rsidR="00756FFD" w:rsidRPr="00861683">
        <w:rPr>
          <w:rFonts w:asciiTheme="majorBidi" w:hAnsiTheme="majorBidi" w:cstheme="majorBidi"/>
          <w:sz w:val="24"/>
          <w:szCs w:val="24"/>
          <w:cs/>
          <w:lang w:bidi="ar-IQ"/>
        </w:rPr>
        <w:t>‎</w:t>
      </w:r>
      <w:proofErr w:type="spellEnd"/>
      <w:r w:rsidR="00756FFD" w:rsidRPr="00861683">
        <w:rPr>
          <w:rFonts w:asciiTheme="majorBidi" w:hAnsiTheme="majorBidi" w:cstheme="majorBidi"/>
          <w:sz w:val="24"/>
          <w:szCs w:val="24"/>
          <w:lang w:bidi="ar-IQ"/>
        </w:rPr>
        <w:t>[18]</w:t>
      </w:r>
      <w:r w:rsidR="00061D14" w:rsidRPr="00861683">
        <w:rPr>
          <w:rFonts w:asciiTheme="majorBidi" w:hAnsiTheme="majorBidi" w:cstheme="majorBidi"/>
          <w:sz w:val="24"/>
          <w:szCs w:val="24"/>
        </w:rPr>
        <w:fldChar w:fldCharType="end"/>
      </w:r>
      <w:r w:rsidRPr="00861683">
        <w:rPr>
          <w:rFonts w:asciiTheme="majorBidi" w:hAnsiTheme="majorBidi" w:cstheme="majorBidi"/>
          <w:sz w:val="24"/>
          <w:szCs w:val="24"/>
          <w:lang w:bidi="ar-IQ"/>
        </w:rPr>
        <w:t>.</w:t>
      </w:r>
    </w:p>
    <w:p w:rsidR="000312AC" w:rsidRPr="00861683" w:rsidRDefault="000312AC" w:rsidP="00861683">
      <w:pPr>
        <w:spacing w:after="0" w:line="240" w:lineRule="auto"/>
        <w:ind w:firstLine="284"/>
        <w:jc w:val="both"/>
        <w:rPr>
          <w:rFonts w:asciiTheme="majorBidi" w:hAnsiTheme="majorBidi" w:cstheme="majorBidi"/>
          <w:sz w:val="24"/>
          <w:szCs w:val="24"/>
          <w:lang w:bidi="ar-IQ"/>
        </w:rPr>
      </w:pPr>
      <w:r w:rsidRPr="00861683">
        <w:rPr>
          <w:rFonts w:asciiTheme="majorBidi" w:hAnsiTheme="majorBidi" w:cstheme="majorBidi"/>
          <w:sz w:val="24"/>
          <w:szCs w:val="24"/>
          <w:lang w:bidi="ar-IQ"/>
        </w:rPr>
        <w:t xml:space="preserve">Another meta-analysis of over 60 studies showed that pooled sensitivity and specificity were respectively 96% and 85% in smear-positive and 66% and 98% in smear negative respiratory samples </w:t>
      </w:r>
      <w:r w:rsidR="00061D14" w:rsidRPr="00861683">
        <w:rPr>
          <w:rFonts w:asciiTheme="majorBidi" w:hAnsiTheme="majorBidi" w:cstheme="majorBidi"/>
          <w:sz w:val="24"/>
          <w:szCs w:val="24"/>
        </w:rPr>
        <w:fldChar w:fldCharType="begin"/>
      </w:r>
      <w:r w:rsidR="0015764B" w:rsidRPr="00861683">
        <w:rPr>
          <w:rFonts w:asciiTheme="majorBidi" w:hAnsiTheme="majorBidi" w:cstheme="majorBidi"/>
          <w:sz w:val="24"/>
          <w:szCs w:val="24"/>
        </w:rPr>
        <w:instrText xml:space="preserve"> REF _Ref337286982 \r \h  \* MERGEFORMAT </w:instrText>
      </w:r>
      <w:r w:rsidR="00061D14" w:rsidRPr="00861683">
        <w:rPr>
          <w:rFonts w:asciiTheme="majorBidi" w:hAnsiTheme="majorBidi" w:cstheme="majorBidi"/>
          <w:sz w:val="24"/>
          <w:szCs w:val="24"/>
        </w:rPr>
      </w:r>
      <w:r w:rsidR="00061D14" w:rsidRPr="00861683">
        <w:rPr>
          <w:rFonts w:asciiTheme="majorBidi" w:hAnsiTheme="majorBidi" w:cstheme="majorBidi"/>
          <w:sz w:val="24"/>
          <w:szCs w:val="24"/>
        </w:rPr>
        <w:fldChar w:fldCharType="separate"/>
      </w:r>
      <w:proofErr w:type="spellStart"/>
      <w:r w:rsidR="00756FFD" w:rsidRPr="00861683">
        <w:rPr>
          <w:rFonts w:asciiTheme="majorBidi" w:hAnsiTheme="majorBidi" w:cstheme="majorBidi"/>
          <w:sz w:val="24"/>
          <w:szCs w:val="24"/>
          <w:cs/>
          <w:lang w:bidi="ar-IQ"/>
        </w:rPr>
        <w:t>‎</w:t>
      </w:r>
      <w:proofErr w:type="spellEnd"/>
      <w:r w:rsidR="00756FFD" w:rsidRPr="00861683">
        <w:rPr>
          <w:rFonts w:asciiTheme="majorBidi" w:hAnsiTheme="majorBidi" w:cstheme="majorBidi"/>
          <w:sz w:val="24"/>
          <w:szCs w:val="24"/>
          <w:lang w:bidi="ar-IQ"/>
        </w:rPr>
        <w:t>[19]</w:t>
      </w:r>
      <w:r w:rsidR="00061D14" w:rsidRPr="00861683">
        <w:rPr>
          <w:rFonts w:asciiTheme="majorBidi" w:hAnsiTheme="majorBidi" w:cstheme="majorBidi"/>
          <w:sz w:val="24"/>
          <w:szCs w:val="24"/>
        </w:rPr>
        <w:fldChar w:fldCharType="end"/>
      </w:r>
      <w:r w:rsidRPr="00861683">
        <w:rPr>
          <w:rFonts w:asciiTheme="majorBidi" w:hAnsiTheme="majorBidi" w:cstheme="majorBidi"/>
          <w:sz w:val="24"/>
          <w:szCs w:val="24"/>
          <w:lang w:bidi="ar-IQ"/>
        </w:rPr>
        <w:t xml:space="preserve">.  </w:t>
      </w:r>
    </w:p>
    <w:p w:rsidR="000312AC" w:rsidRPr="00861683" w:rsidRDefault="000312AC" w:rsidP="00861683">
      <w:pPr>
        <w:spacing w:after="0" w:line="240" w:lineRule="auto"/>
        <w:ind w:firstLine="284"/>
        <w:jc w:val="both"/>
        <w:rPr>
          <w:rFonts w:asciiTheme="majorBidi" w:hAnsiTheme="majorBidi" w:cstheme="majorBidi"/>
          <w:sz w:val="24"/>
          <w:szCs w:val="24"/>
          <w:lang w:bidi="ar-IQ"/>
        </w:rPr>
      </w:pPr>
      <w:r w:rsidRPr="00861683">
        <w:rPr>
          <w:rFonts w:asciiTheme="majorBidi" w:hAnsiTheme="majorBidi" w:cstheme="majorBidi"/>
          <w:sz w:val="24"/>
          <w:szCs w:val="24"/>
          <w:lang w:bidi="ar-IQ"/>
        </w:rPr>
        <w:t xml:space="preserve">This study showed that of the RT-PCR were positive in 93.7% of smear negative PTB cases. The result was higher than that reported by other study of the performance of PCR tests for the diagnosis of tuberculosis which reported that sensitivity was 66-73% in smear-negative samples </w:t>
      </w:r>
      <w:fldSimple w:instr=" REF _Ref337287382 \r \h  \* MERGEFORMAT ">
        <w:r w:rsidR="00756FFD" w:rsidRPr="00861683">
          <w:rPr>
            <w:rFonts w:asciiTheme="majorBidi" w:hAnsiTheme="majorBidi" w:cstheme="majorBidi"/>
            <w:sz w:val="24"/>
            <w:szCs w:val="24"/>
            <w:lang w:bidi="ar-IQ"/>
          </w:rPr>
          <w:t>[20]</w:t>
        </w:r>
      </w:fldSimple>
      <w:r w:rsidRPr="00861683">
        <w:rPr>
          <w:rFonts w:asciiTheme="majorBidi" w:hAnsiTheme="majorBidi" w:cstheme="majorBidi"/>
          <w:sz w:val="24"/>
          <w:szCs w:val="24"/>
          <w:lang w:bidi="ar-IQ"/>
        </w:rPr>
        <w:t>.</w:t>
      </w:r>
    </w:p>
    <w:p w:rsidR="000312AC" w:rsidRPr="00861683" w:rsidRDefault="000312AC" w:rsidP="00861683">
      <w:pPr>
        <w:spacing w:after="0" w:line="240" w:lineRule="auto"/>
        <w:ind w:firstLine="284"/>
        <w:jc w:val="both"/>
        <w:rPr>
          <w:rFonts w:asciiTheme="majorBidi" w:hAnsiTheme="majorBidi" w:cstheme="majorBidi"/>
          <w:sz w:val="24"/>
          <w:szCs w:val="24"/>
          <w:lang w:bidi="ar-IQ"/>
        </w:rPr>
      </w:pPr>
      <w:proofErr w:type="spellStart"/>
      <w:r w:rsidRPr="00861683">
        <w:rPr>
          <w:rFonts w:asciiTheme="majorBidi" w:hAnsiTheme="majorBidi" w:cstheme="majorBidi"/>
          <w:sz w:val="24"/>
          <w:szCs w:val="24"/>
          <w:lang w:bidi="ar-IQ"/>
        </w:rPr>
        <w:t>Nicol</w:t>
      </w:r>
      <w:proofErr w:type="spellEnd"/>
      <w:r w:rsidRPr="00861683">
        <w:rPr>
          <w:rFonts w:asciiTheme="majorBidi" w:hAnsiTheme="majorBidi" w:cstheme="majorBidi"/>
          <w:sz w:val="24"/>
          <w:szCs w:val="24"/>
          <w:lang w:bidi="ar-IQ"/>
        </w:rPr>
        <w:t xml:space="preserve"> and </w:t>
      </w:r>
      <w:proofErr w:type="spellStart"/>
      <w:r w:rsidRPr="00861683">
        <w:rPr>
          <w:rFonts w:asciiTheme="majorBidi" w:hAnsiTheme="majorBidi" w:cstheme="majorBidi"/>
          <w:sz w:val="24"/>
          <w:szCs w:val="24"/>
          <w:lang w:bidi="ar-IQ"/>
        </w:rPr>
        <w:t>Zar</w:t>
      </w:r>
      <w:proofErr w:type="spellEnd"/>
      <w:r w:rsidRPr="00861683">
        <w:rPr>
          <w:rFonts w:asciiTheme="majorBidi" w:hAnsiTheme="majorBidi" w:cstheme="majorBidi"/>
          <w:sz w:val="24"/>
          <w:szCs w:val="24"/>
          <w:lang w:bidi="ar-IQ"/>
        </w:rPr>
        <w:t xml:space="preserve"> </w:t>
      </w:r>
      <w:r w:rsidR="002E2C0B" w:rsidRPr="00861683">
        <w:rPr>
          <w:rFonts w:asciiTheme="majorBidi" w:hAnsiTheme="majorBidi" w:cstheme="majorBidi"/>
          <w:sz w:val="24"/>
          <w:szCs w:val="24"/>
          <w:lang w:bidi="ar-IQ"/>
        </w:rPr>
        <w:t>were</w:t>
      </w:r>
      <w:r w:rsidR="007816C8" w:rsidRPr="00861683">
        <w:rPr>
          <w:rFonts w:asciiTheme="majorBidi" w:hAnsiTheme="majorBidi" w:cstheme="majorBidi"/>
          <w:sz w:val="24"/>
          <w:szCs w:val="24"/>
          <w:lang w:bidi="ar-IQ"/>
        </w:rPr>
        <w:t xml:space="preserve"> </w:t>
      </w:r>
      <w:r w:rsidRPr="00861683">
        <w:rPr>
          <w:rFonts w:asciiTheme="majorBidi" w:hAnsiTheme="majorBidi" w:cstheme="majorBidi"/>
          <w:sz w:val="24"/>
          <w:szCs w:val="24"/>
          <w:lang w:bidi="ar-IQ"/>
        </w:rPr>
        <w:t xml:space="preserve">reported that a sensitivity of 66% for smear-negative TB by using different commercial PCR assays </w:t>
      </w:r>
      <w:fldSimple w:instr=" REF _Ref337287506 \r \h  \* MERGEFORMAT ">
        <w:r w:rsidR="00756FFD" w:rsidRPr="00861683">
          <w:rPr>
            <w:rFonts w:asciiTheme="majorBidi" w:hAnsiTheme="majorBidi" w:cstheme="majorBidi"/>
            <w:sz w:val="24"/>
            <w:szCs w:val="24"/>
            <w:lang w:bidi="ar-IQ"/>
          </w:rPr>
          <w:t>[21]</w:t>
        </w:r>
      </w:fldSimple>
      <w:r w:rsidRPr="00861683">
        <w:rPr>
          <w:rFonts w:asciiTheme="majorBidi" w:hAnsiTheme="majorBidi" w:cstheme="majorBidi"/>
          <w:sz w:val="24"/>
          <w:szCs w:val="24"/>
          <w:lang w:bidi="ar-IQ"/>
        </w:rPr>
        <w:t xml:space="preserve">.   </w:t>
      </w:r>
    </w:p>
    <w:p w:rsidR="000312AC" w:rsidRPr="00861683" w:rsidRDefault="000312AC" w:rsidP="00861683">
      <w:pPr>
        <w:spacing w:after="0" w:line="240" w:lineRule="auto"/>
        <w:ind w:firstLine="284"/>
        <w:jc w:val="both"/>
        <w:rPr>
          <w:rFonts w:asciiTheme="majorBidi" w:hAnsiTheme="majorBidi" w:cstheme="majorBidi"/>
          <w:sz w:val="24"/>
          <w:szCs w:val="24"/>
          <w:lang w:bidi="ar-IQ"/>
        </w:rPr>
      </w:pPr>
      <w:r w:rsidRPr="00861683">
        <w:rPr>
          <w:rFonts w:asciiTheme="majorBidi" w:hAnsiTheme="majorBidi" w:cstheme="majorBidi"/>
          <w:sz w:val="24"/>
          <w:szCs w:val="24"/>
          <w:lang w:bidi="ar-IQ"/>
        </w:rPr>
        <w:t>Rapid identification of MTBC in smear-negative samples as well as in smear-positive samples is important for prevention of tuberculosis transmission, because about 17% of tuberculosis cases involve transmission from persons with negative AFB smear results [</w:t>
      </w:r>
      <w:fldSimple w:instr=" REF _Ref337287533 \r \h  \* MERGEFORMAT ">
        <w:r w:rsidR="00756FFD" w:rsidRPr="00861683">
          <w:rPr>
            <w:rFonts w:asciiTheme="majorBidi" w:hAnsiTheme="majorBidi" w:cstheme="majorBidi"/>
            <w:sz w:val="24"/>
            <w:szCs w:val="24"/>
            <w:lang w:bidi="ar-IQ"/>
          </w:rPr>
          <w:t>[22]</w:t>
        </w:r>
      </w:fldSimple>
      <w:r w:rsidRPr="00861683">
        <w:rPr>
          <w:rFonts w:asciiTheme="majorBidi" w:hAnsiTheme="majorBidi" w:cstheme="majorBidi"/>
          <w:sz w:val="24"/>
          <w:szCs w:val="24"/>
          <w:lang w:bidi="ar-IQ"/>
        </w:rPr>
        <w:t>.</w:t>
      </w:r>
    </w:p>
    <w:p w:rsidR="000312AC" w:rsidRPr="00861683" w:rsidRDefault="007816C8" w:rsidP="00861683">
      <w:pPr>
        <w:spacing w:after="0" w:line="240" w:lineRule="auto"/>
        <w:ind w:firstLine="284"/>
        <w:jc w:val="both"/>
        <w:rPr>
          <w:rFonts w:asciiTheme="majorBidi" w:hAnsiTheme="majorBidi" w:cstheme="majorBidi"/>
          <w:sz w:val="24"/>
          <w:szCs w:val="24"/>
          <w:lang w:bidi="ar-IQ"/>
        </w:rPr>
      </w:pPr>
      <w:r w:rsidRPr="00861683">
        <w:rPr>
          <w:rFonts w:asciiTheme="majorBidi" w:hAnsiTheme="majorBidi" w:cstheme="majorBidi"/>
          <w:sz w:val="24"/>
          <w:szCs w:val="24"/>
          <w:lang w:bidi="ar-IQ"/>
        </w:rPr>
        <w:t xml:space="preserve">On the other hand, </w:t>
      </w:r>
      <w:r w:rsidR="000312AC" w:rsidRPr="00861683">
        <w:rPr>
          <w:rFonts w:asciiTheme="majorBidi" w:hAnsiTheme="majorBidi" w:cstheme="majorBidi"/>
          <w:sz w:val="24"/>
          <w:szCs w:val="24"/>
          <w:lang w:bidi="ar-IQ"/>
        </w:rPr>
        <w:t xml:space="preserve">The results of AFB smear in this study showed </w:t>
      </w:r>
      <w:r w:rsidRPr="00861683">
        <w:rPr>
          <w:rFonts w:asciiTheme="majorBidi" w:hAnsiTheme="majorBidi" w:cstheme="majorBidi"/>
          <w:sz w:val="24"/>
          <w:szCs w:val="24"/>
          <w:lang w:bidi="ar-IQ"/>
        </w:rPr>
        <w:t xml:space="preserve">that </w:t>
      </w:r>
      <w:r w:rsidR="000312AC" w:rsidRPr="00861683">
        <w:rPr>
          <w:rFonts w:asciiTheme="majorBidi" w:hAnsiTheme="majorBidi" w:cstheme="majorBidi"/>
          <w:sz w:val="24"/>
          <w:szCs w:val="24"/>
          <w:lang w:bidi="ar-IQ"/>
        </w:rPr>
        <w:t xml:space="preserve">a sensitivity of  74% and 77.8% in confirmed PTB and culture positive PTB cases. The specificity of AFB smear was 100%. Direct microscopic examination of sputum for AFB was inexpensive, rapid, and relatively easy to perform. Compared to mycobacterial culture, the sensitivity of a single sputum AFB smear is 30% to 40%, but it increased to reach 65% to 80% with multiple specimens or concentrated sputum </w:t>
      </w:r>
      <w:fldSimple w:instr=" REF _Ref337287635 \r \h  \* MERGEFORMAT ">
        <w:r w:rsidR="00756FFD" w:rsidRPr="00861683">
          <w:rPr>
            <w:rFonts w:asciiTheme="majorBidi" w:hAnsiTheme="majorBidi" w:cstheme="majorBidi"/>
            <w:sz w:val="24"/>
            <w:szCs w:val="24"/>
            <w:lang w:bidi="ar-IQ"/>
          </w:rPr>
          <w:t>[23]</w:t>
        </w:r>
      </w:fldSimple>
      <w:r w:rsidR="000312AC" w:rsidRPr="00861683">
        <w:rPr>
          <w:rFonts w:asciiTheme="majorBidi" w:hAnsiTheme="majorBidi" w:cstheme="majorBidi"/>
          <w:sz w:val="24"/>
          <w:szCs w:val="24"/>
          <w:lang w:bidi="ar-IQ"/>
        </w:rPr>
        <w:t xml:space="preserve">. The AFB smear mainly has two disadvantages. First, The sensitivity of AFB smear is such that it requires 6000 to 10,000 organisms per mL of sample to register as positive case. The second disadvantage is direct microscopy cannot distinguish between M. </w:t>
      </w:r>
      <w:r w:rsidR="000312AC" w:rsidRPr="00861683">
        <w:rPr>
          <w:rFonts w:asciiTheme="majorBidi" w:hAnsiTheme="majorBidi" w:cstheme="majorBidi"/>
          <w:sz w:val="24"/>
          <w:szCs w:val="24"/>
          <w:lang w:bidi="ar-IQ"/>
        </w:rPr>
        <w:lastRenderedPageBreak/>
        <w:t xml:space="preserve">tuberculosis and </w:t>
      </w:r>
      <w:proofErr w:type="spellStart"/>
      <w:r w:rsidR="000312AC" w:rsidRPr="00861683">
        <w:rPr>
          <w:rFonts w:asciiTheme="majorBidi" w:hAnsiTheme="majorBidi" w:cstheme="majorBidi"/>
          <w:sz w:val="24"/>
          <w:szCs w:val="24"/>
          <w:lang w:bidi="ar-IQ"/>
        </w:rPr>
        <w:t>nontuberculous</w:t>
      </w:r>
      <w:proofErr w:type="spellEnd"/>
      <w:r w:rsidR="000312AC" w:rsidRPr="00861683">
        <w:rPr>
          <w:rFonts w:asciiTheme="majorBidi" w:hAnsiTheme="majorBidi" w:cstheme="majorBidi"/>
          <w:sz w:val="24"/>
          <w:szCs w:val="24"/>
          <w:lang w:bidi="ar-IQ"/>
        </w:rPr>
        <w:t xml:space="preserve"> </w:t>
      </w:r>
      <w:proofErr w:type="spellStart"/>
      <w:r w:rsidR="000312AC" w:rsidRPr="00861683">
        <w:rPr>
          <w:rFonts w:asciiTheme="majorBidi" w:hAnsiTheme="majorBidi" w:cstheme="majorBidi"/>
          <w:sz w:val="24"/>
          <w:szCs w:val="24"/>
          <w:lang w:bidi="ar-IQ"/>
        </w:rPr>
        <w:t>mycobacteria</w:t>
      </w:r>
      <w:proofErr w:type="spellEnd"/>
      <w:r w:rsidR="000312AC" w:rsidRPr="00861683">
        <w:rPr>
          <w:rFonts w:asciiTheme="majorBidi" w:hAnsiTheme="majorBidi" w:cstheme="majorBidi"/>
          <w:sz w:val="24"/>
          <w:szCs w:val="24"/>
          <w:lang w:bidi="ar-IQ"/>
        </w:rPr>
        <w:t xml:space="preserve"> (NTM) </w:t>
      </w:r>
      <w:fldSimple w:instr=" REF _Ref337286555 \r \h  \* MERGEFORMAT ">
        <w:r w:rsidR="00756FFD" w:rsidRPr="00861683">
          <w:rPr>
            <w:rFonts w:asciiTheme="majorBidi" w:hAnsiTheme="majorBidi" w:cstheme="majorBidi"/>
            <w:sz w:val="24"/>
            <w:szCs w:val="24"/>
            <w:lang w:bidi="ar-IQ"/>
          </w:rPr>
          <w:t>[2]</w:t>
        </w:r>
      </w:fldSimple>
      <w:r w:rsidR="000312AC" w:rsidRPr="00861683">
        <w:rPr>
          <w:rFonts w:asciiTheme="majorBidi" w:hAnsiTheme="majorBidi" w:cstheme="majorBidi"/>
          <w:sz w:val="24"/>
          <w:szCs w:val="24"/>
          <w:lang w:bidi="ar-IQ"/>
        </w:rPr>
        <w:t xml:space="preserve">. </w:t>
      </w:r>
    </w:p>
    <w:p w:rsidR="000312AC" w:rsidRPr="00861683" w:rsidRDefault="000312AC" w:rsidP="00861683">
      <w:pPr>
        <w:spacing w:after="0" w:line="240" w:lineRule="auto"/>
        <w:ind w:firstLine="284"/>
        <w:jc w:val="both"/>
        <w:rPr>
          <w:rFonts w:asciiTheme="majorBidi" w:hAnsiTheme="majorBidi" w:cstheme="majorBidi"/>
          <w:sz w:val="24"/>
          <w:szCs w:val="24"/>
          <w:lang w:bidi="ar-IQ"/>
        </w:rPr>
      </w:pPr>
      <w:r w:rsidRPr="00861683">
        <w:rPr>
          <w:rFonts w:asciiTheme="majorBidi" w:hAnsiTheme="majorBidi" w:cstheme="majorBidi"/>
          <w:sz w:val="24"/>
          <w:szCs w:val="24"/>
          <w:lang w:bidi="ar-IQ"/>
        </w:rPr>
        <w:t xml:space="preserve">In this study, TB culture showed sensitivity of 43% and specificity of 100%. The low sensitivity of TB culture in this study can be attributed to the anti-TB antibiotic administration by many PTB patients included in this study.       </w:t>
      </w:r>
    </w:p>
    <w:p w:rsidR="000312AC" w:rsidRPr="00861683" w:rsidRDefault="000312AC" w:rsidP="00861683">
      <w:pPr>
        <w:spacing w:after="0" w:line="240" w:lineRule="auto"/>
        <w:ind w:firstLine="284"/>
        <w:jc w:val="both"/>
        <w:rPr>
          <w:rFonts w:asciiTheme="majorBidi" w:hAnsiTheme="majorBidi" w:cstheme="majorBidi"/>
          <w:sz w:val="24"/>
          <w:szCs w:val="24"/>
          <w:lang w:bidi="ar-IQ"/>
        </w:rPr>
      </w:pPr>
      <w:r w:rsidRPr="00861683">
        <w:rPr>
          <w:rFonts w:asciiTheme="majorBidi" w:hAnsiTheme="majorBidi" w:cstheme="majorBidi"/>
          <w:sz w:val="24"/>
          <w:szCs w:val="24"/>
          <w:lang w:bidi="ar-IQ"/>
        </w:rPr>
        <w:t xml:space="preserve">It has been mentioned that by using of final clinical diagnosis of pulmonary TB as the standard, the sensitivity of sputum culture is greater than 80%. Mainly because of laboratory contamination of the specimen at the bedside or in the laboratory, false positives also occur with culture. Nevertheless, the specificity of culture has been reported to be as high as 98% </w:t>
      </w:r>
      <w:fldSimple w:instr=" REF _Ref337287660 \r \h  \* MERGEFORMAT ">
        <w:r w:rsidR="00756FFD" w:rsidRPr="00861683">
          <w:rPr>
            <w:rFonts w:asciiTheme="majorBidi" w:hAnsiTheme="majorBidi" w:cstheme="majorBidi"/>
            <w:sz w:val="24"/>
            <w:szCs w:val="24"/>
            <w:lang w:bidi="ar-IQ"/>
          </w:rPr>
          <w:t>[24]</w:t>
        </w:r>
      </w:fldSimple>
      <w:r w:rsidRPr="00861683">
        <w:rPr>
          <w:rFonts w:asciiTheme="majorBidi" w:hAnsiTheme="majorBidi" w:cstheme="majorBidi"/>
          <w:sz w:val="24"/>
          <w:szCs w:val="24"/>
          <w:lang w:bidi="ar-IQ"/>
        </w:rPr>
        <w:t>.</w:t>
      </w:r>
    </w:p>
    <w:p w:rsidR="000312AC" w:rsidRPr="00861683" w:rsidRDefault="000312AC" w:rsidP="00861683">
      <w:pPr>
        <w:spacing w:after="0" w:line="240" w:lineRule="auto"/>
        <w:ind w:firstLine="284"/>
        <w:jc w:val="both"/>
        <w:rPr>
          <w:rFonts w:asciiTheme="majorBidi" w:hAnsiTheme="majorBidi" w:cstheme="majorBidi"/>
          <w:sz w:val="24"/>
          <w:szCs w:val="24"/>
          <w:lang w:bidi="ar-IQ"/>
        </w:rPr>
      </w:pPr>
      <w:r w:rsidRPr="00861683">
        <w:rPr>
          <w:rFonts w:asciiTheme="majorBidi" w:hAnsiTheme="majorBidi" w:cstheme="majorBidi"/>
          <w:sz w:val="24"/>
          <w:szCs w:val="24"/>
          <w:lang w:bidi="ar-IQ"/>
        </w:rPr>
        <w:t xml:space="preserve">Culture requires an average of 21days to obtain results; even the </w:t>
      </w:r>
      <w:proofErr w:type="spellStart"/>
      <w:r w:rsidRPr="00861683">
        <w:rPr>
          <w:rFonts w:asciiTheme="majorBidi" w:hAnsiTheme="majorBidi" w:cstheme="majorBidi"/>
          <w:sz w:val="24"/>
          <w:szCs w:val="24"/>
          <w:lang w:bidi="ar-IQ"/>
        </w:rPr>
        <w:t>Bactec</w:t>
      </w:r>
      <w:proofErr w:type="spellEnd"/>
      <w:r w:rsidRPr="00861683">
        <w:rPr>
          <w:rFonts w:asciiTheme="majorBidi" w:hAnsiTheme="majorBidi" w:cstheme="majorBidi"/>
          <w:sz w:val="24"/>
          <w:szCs w:val="24"/>
          <w:lang w:bidi="ar-IQ"/>
        </w:rPr>
        <w:t xml:space="preserve"> radiometric technique (Becton Dickinson, USA) requires 13 days to produce results. Whoever, the sensitivity of culture ranges from 50% to 81% </w:t>
      </w:r>
      <w:fldSimple w:instr=" REF _Ref337287673 \r \h  \* MERGEFORMAT ">
        <w:r w:rsidR="00756FFD" w:rsidRPr="00861683">
          <w:rPr>
            <w:rFonts w:asciiTheme="majorBidi" w:hAnsiTheme="majorBidi" w:cstheme="majorBidi"/>
            <w:sz w:val="24"/>
            <w:szCs w:val="24"/>
            <w:lang w:bidi="ar-IQ"/>
          </w:rPr>
          <w:t>[25]</w:t>
        </w:r>
      </w:fldSimple>
      <w:r w:rsidRPr="00861683">
        <w:rPr>
          <w:rFonts w:asciiTheme="majorBidi" w:hAnsiTheme="majorBidi" w:cstheme="majorBidi"/>
          <w:sz w:val="24"/>
          <w:szCs w:val="24"/>
          <w:lang w:bidi="ar-IQ"/>
        </w:rPr>
        <w:t xml:space="preserve">. </w:t>
      </w:r>
    </w:p>
    <w:p w:rsidR="000312AC" w:rsidRPr="00861683" w:rsidRDefault="000312AC" w:rsidP="00861683">
      <w:pPr>
        <w:spacing w:after="0" w:line="240" w:lineRule="auto"/>
        <w:ind w:firstLine="284"/>
        <w:jc w:val="both"/>
        <w:rPr>
          <w:rFonts w:asciiTheme="majorBidi" w:hAnsiTheme="majorBidi" w:cstheme="majorBidi"/>
          <w:sz w:val="24"/>
          <w:szCs w:val="24"/>
          <w:lang w:bidi="ar-IQ"/>
        </w:rPr>
      </w:pPr>
      <w:r w:rsidRPr="00861683">
        <w:rPr>
          <w:rFonts w:asciiTheme="majorBidi" w:hAnsiTheme="majorBidi" w:cstheme="majorBidi"/>
          <w:sz w:val="24"/>
          <w:szCs w:val="24"/>
          <w:lang w:bidi="ar-IQ"/>
        </w:rPr>
        <w:t xml:space="preserve">The combination of two tests, with a positive result by either of the tests, increases the diagnostic sensitivity for all individual tests </w:t>
      </w:r>
      <w:fldSimple w:instr=" REF _Ref337287688 \r \h  \* MERGEFORMAT ">
        <w:r w:rsidR="00756FFD" w:rsidRPr="00861683">
          <w:rPr>
            <w:rFonts w:asciiTheme="majorBidi" w:hAnsiTheme="majorBidi" w:cstheme="majorBidi"/>
            <w:sz w:val="24"/>
            <w:szCs w:val="24"/>
            <w:lang w:bidi="ar-IQ"/>
          </w:rPr>
          <w:t>[26]</w:t>
        </w:r>
      </w:fldSimple>
      <w:r w:rsidRPr="00861683">
        <w:rPr>
          <w:rFonts w:asciiTheme="majorBidi" w:hAnsiTheme="majorBidi" w:cstheme="majorBidi"/>
          <w:sz w:val="24"/>
          <w:szCs w:val="24"/>
          <w:lang w:bidi="ar-IQ"/>
        </w:rPr>
        <w:t xml:space="preserve">. </w:t>
      </w:r>
      <w:proofErr w:type="spellStart"/>
      <w:r w:rsidRPr="00861683">
        <w:rPr>
          <w:rFonts w:asciiTheme="majorBidi" w:hAnsiTheme="majorBidi" w:cstheme="majorBidi"/>
          <w:sz w:val="24"/>
          <w:szCs w:val="24"/>
          <w:lang w:bidi="ar-IQ"/>
        </w:rPr>
        <w:t>Alsmeda</w:t>
      </w:r>
      <w:proofErr w:type="spellEnd"/>
      <w:r w:rsidRPr="00861683">
        <w:rPr>
          <w:rFonts w:asciiTheme="majorBidi" w:hAnsiTheme="majorBidi" w:cstheme="majorBidi"/>
          <w:sz w:val="24"/>
          <w:szCs w:val="24"/>
          <w:lang w:bidi="ar-IQ"/>
        </w:rPr>
        <w:t xml:space="preserve"> </w:t>
      </w:r>
      <w:r w:rsidRPr="00861683">
        <w:rPr>
          <w:rFonts w:asciiTheme="majorBidi" w:hAnsiTheme="majorBidi" w:cstheme="majorBidi"/>
          <w:i/>
          <w:iCs/>
          <w:sz w:val="24"/>
          <w:szCs w:val="24"/>
          <w:lang w:bidi="ar-IQ"/>
        </w:rPr>
        <w:t xml:space="preserve">et al. </w:t>
      </w:r>
      <w:r w:rsidR="002E2C0B" w:rsidRPr="00861683">
        <w:rPr>
          <w:rFonts w:asciiTheme="majorBidi" w:hAnsiTheme="majorBidi" w:cstheme="majorBidi"/>
          <w:sz w:val="24"/>
          <w:szCs w:val="24"/>
          <w:lang w:bidi="ar-IQ"/>
        </w:rPr>
        <w:t xml:space="preserve">were </w:t>
      </w:r>
      <w:r w:rsidRPr="00861683">
        <w:rPr>
          <w:rFonts w:asciiTheme="majorBidi" w:hAnsiTheme="majorBidi" w:cstheme="majorBidi"/>
          <w:sz w:val="24"/>
          <w:szCs w:val="24"/>
          <w:lang w:bidi="ar-IQ"/>
        </w:rPr>
        <w:t xml:space="preserve">reported that the combination of PCR and stain, both of which are faster than culture, has a sensitivity similar to that of culture </w:t>
      </w:r>
      <w:fldSimple w:instr=" REF _Ref337287673 \r \h  \* MERGEFORMAT ">
        <w:r w:rsidR="00756FFD" w:rsidRPr="00861683">
          <w:rPr>
            <w:rFonts w:asciiTheme="majorBidi" w:hAnsiTheme="majorBidi" w:cstheme="majorBidi"/>
            <w:sz w:val="24"/>
            <w:szCs w:val="24"/>
            <w:lang w:bidi="ar-IQ"/>
          </w:rPr>
          <w:t>[25]</w:t>
        </w:r>
      </w:fldSimple>
      <w:r w:rsidRPr="00861683">
        <w:rPr>
          <w:rFonts w:asciiTheme="majorBidi" w:hAnsiTheme="majorBidi" w:cstheme="majorBidi"/>
          <w:sz w:val="24"/>
          <w:szCs w:val="24"/>
          <w:lang w:bidi="ar-IQ"/>
        </w:rPr>
        <w:t xml:space="preserve">. The ICG assay exhibited  a poor sensitivity (24%) in confirmed PTB cases and 40.7% in culture confirmed PTB cases (tables 6 &amp; 7). The sensitivity of ICG was better in </w:t>
      </w:r>
      <w:proofErr w:type="spellStart"/>
      <w:r w:rsidRPr="00861683">
        <w:rPr>
          <w:rFonts w:asciiTheme="majorBidi" w:hAnsiTheme="majorBidi" w:cstheme="majorBidi"/>
          <w:sz w:val="24"/>
          <w:szCs w:val="24"/>
          <w:lang w:bidi="ar-IQ"/>
        </w:rPr>
        <w:t>extrapulmonary</w:t>
      </w:r>
      <w:proofErr w:type="spellEnd"/>
      <w:r w:rsidRPr="00861683">
        <w:rPr>
          <w:rFonts w:asciiTheme="majorBidi" w:hAnsiTheme="majorBidi" w:cstheme="majorBidi"/>
          <w:sz w:val="24"/>
          <w:szCs w:val="24"/>
          <w:lang w:bidi="ar-IQ"/>
        </w:rPr>
        <w:t xml:space="preserve"> TB cases  (50%) as compared with its sensitivity in PTB. </w:t>
      </w:r>
    </w:p>
    <w:p w:rsidR="000312AC" w:rsidRPr="00861683" w:rsidRDefault="000312AC" w:rsidP="00861683">
      <w:pPr>
        <w:spacing w:after="0" w:line="240" w:lineRule="auto"/>
        <w:ind w:firstLine="284"/>
        <w:jc w:val="both"/>
        <w:rPr>
          <w:rFonts w:asciiTheme="majorBidi" w:hAnsiTheme="majorBidi" w:cstheme="majorBidi"/>
          <w:sz w:val="24"/>
          <w:szCs w:val="24"/>
          <w:lang w:bidi="ar-IQ"/>
        </w:rPr>
      </w:pPr>
      <w:r w:rsidRPr="00861683">
        <w:rPr>
          <w:rFonts w:asciiTheme="majorBidi" w:hAnsiTheme="majorBidi" w:cstheme="majorBidi"/>
          <w:sz w:val="24"/>
          <w:szCs w:val="24"/>
          <w:lang w:bidi="ar-IQ"/>
        </w:rPr>
        <w:t xml:space="preserve">Some studies have compared </w:t>
      </w:r>
      <w:proofErr w:type="spellStart"/>
      <w:r w:rsidRPr="00861683">
        <w:rPr>
          <w:rFonts w:asciiTheme="majorBidi" w:hAnsiTheme="majorBidi" w:cstheme="majorBidi"/>
          <w:sz w:val="24"/>
          <w:szCs w:val="24"/>
          <w:lang w:bidi="ar-IQ"/>
        </w:rPr>
        <w:t>serodiagnostic</w:t>
      </w:r>
      <w:proofErr w:type="spellEnd"/>
      <w:r w:rsidRPr="00861683">
        <w:rPr>
          <w:rFonts w:asciiTheme="majorBidi" w:hAnsiTheme="majorBidi" w:cstheme="majorBidi"/>
          <w:sz w:val="24"/>
          <w:szCs w:val="24"/>
          <w:lang w:bidi="ar-IQ"/>
        </w:rPr>
        <w:t xml:space="preserve"> tests in known cases of TB against healthy controls. Their use has been disappointing in clinical practice where true TB cases must be distinguished from patients suspected of having TB but who in fact have other conditions. The kits differ in features including test format (i.e., </w:t>
      </w:r>
      <w:r w:rsidRPr="00861683">
        <w:rPr>
          <w:rFonts w:asciiTheme="majorBidi" w:hAnsiTheme="majorBidi" w:cstheme="majorBidi"/>
          <w:sz w:val="24"/>
          <w:szCs w:val="24"/>
          <w:lang w:bidi="ar-IQ"/>
        </w:rPr>
        <w:lastRenderedPageBreak/>
        <w:t xml:space="preserve">modifications of ELISA or </w:t>
      </w:r>
      <w:proofErr w:type="spellStart"/>
      <w:r w:rsidRPr="00861683">
        <w:rPr>
          <w:rFonts w:asciiTheme="majorBidi" w:hAnsiTheme="majorBidi" w:cstheme="majorBidi"/>
          <w:sz w:val="24"/>
          <w:szCs w:val="24"/>
          <w:lang w:bidi="ar-IQ"/>
        </w:rPr>
        <w:t>immunochromatographic</w:t>
      </w:r>
      <w:proofErr w:type="spellEnd"/>
      <w:r w:rsidRPr="00861683">
        <w:rPr>
          <w:rFonts w:asciiTheme="majorBidi" w:hAnsiTheme="majorBidi" w:cstheme="majorBidi"/>
          <w:sz w:val="24"/>
          <w:szCs w:val="24"/>
          <w:lang w:bidi="ar-IQ"/>
        </w:rPr>
        <w:t xml:space="preserve"> tests), antigen composition (e.g., secreted and heat shock proteins, lipopolysaccharides, or peptides), and class of detected immunoglobulins (e.g., IgA, </w:t>
      </w:r>
      <w:proofErr w:type="spellStart"/>
      <w:r w:rsidRPr="00861683">
        <w:rPr>
          <w:rFonts w:asciiTheme="majorBidi" w:hAnsiTheme="majorBidi" w:cstheme="majorBidi"/>
          <w:sz w:val="24"/>
          <w:szCs w:val="24"/>
          <w:lang w:bidi="ar-IQ"/>
        </w:rPr>
        <w:t>IgG</w:t>
      </w:r>
      <w:proofErr w:type="spellEnd"/>
      <w:r w:rsidRPr="00861683">
        <w:rPr>
          <w:rFonts w:asciiTheme="majorBidi" w:hAnsiTheme="majorBidi" w:cstheme="majorBidi"/>
          <w:sz w:val="24"/>
          <w:szCs w:val="24"/>
          <w:lang w:bidi="ar-IQ"/>
        </w:rPr>
        <w:t xml:space="preserve">, </w:t>
      </w:r>
      <w:proofErr w:type="spellStart"/>
      <w:r w:rsidRPr="00861683">
        <w:rPr>
          <w:rFonts w:asciiTheme="majorBidi" w:hAnsiTheme="majorBidi" w:cstheme="majorBidi"/>
          <w:sz w:val="24"/>
          <w:szCs w:val="24"/>
          <w:lang w:bidi="ar-IQ"/>
        </w:rPr>
        <w:t>IgM</w:t>
      </w:r>
      <w:proofErr w:type="spellEnd"/>
      <w:r w:rsidRPr="00861683">
        <w:rPr>
          <w:rFonts w:asciiTheme="majorBidi" w:hAnsiTheme="majorBidi" w:cstheme="majorBidi"/>
          <w:sz w:val="24"/>
          <w:szCs w:val="24"/>
          <w:lang w:bidi="ar-IQ"/>
        </w:rPr>
        <w:t xml:space="preserve">) </w:t>
      </w:r>
      <w:r w:rsidR="00061D14" w:rsidRPr="00861683">
        <w:rPr>
          <w:rFonts w:asciiTheme="majorBidi" w:hAnsiTheme="majorBidi" w:cstheme="majorBidi"/>
          <w:sz w:val="24"/>
          <w:szCs w:val="24"/>
        </w:rPr>
        <w:fldChar w:fldCharType="begin"/>
      </w:r>
      <w:r w:rsidR="0015764B" w:rsidRPr="00861683">
        <w:rPr>
          <w:rFonts w:asciiTheme="majorBidi" w:hAnsiTheme="majorBidi" w:cstheme="majorBidi"/>
          <w:sz w:val="24"/>
          <w:szCs w:val="24"/>
        </w:rPr>
        <w:instrText xml:space="preserve"> REF _Ref337287733 \r \h  \* MERGEFORMAT </w:instrText>
      </w:r>
      <w:r w:rsidR="00061D14" w:rsidRPr="00861683">
        <w:rPr>
          <w:rFonts w:asciiTheme="majorBidi" w:hAnsiTheme="majorBidi" w:cstheme="majorBidi"/>
          <w:sz w:val="24"/>
          <w:szCs w:val="24"/>
        </w:rPr>
      </w:r>
      <w:r w:rsidR="00061D14" w:rsidRPr="00861683">
        <w:rPr>
          <w:rFonts w:asciiTheme="majorBidi" w:hAnsiTheme="majorBidi" w:cstheme="majorBidi"/>
          <w:sz w:val="24"/>
          <w:szCs w:val="24"/>
        </w:rPr>
        <w:fldChar w:fldCharType="separate"/>
      </w:r>
      <w:proofErr w:type="spellStart"/>
      <w:r w:rsidR="00756FFD" w:rsidRPr="00861683">
        <w:rPr>
          <w:rFonts w:asciiTheme="majorBidi" w:hAnsiTheme="majorBidi" w:cstheme="majorBidi"/>
          <w:sz w:val="24"/>
          <w:szCs w:val="24"/>
          <w:cs/>
          <w:lang w:bidi="ar-IQ"/>
        </w:rPr>
        <w:t>‎</w:t>
      </w:r>
      <w:proofErr w:type="spellEnd"/>
      <w:r w:rsidR="00756FFD" w:rsidRPr="00861683">
        <w:rPr>
          <w:rFonts w:asciiTheme="majorBidi" w:hAnsiTheme="majorBidi" w:cstheme="majorBidi"/>
          <w:sz w:val="24"/>
          <w:szCs w:val="24"/>
          <w:lang w:bidi="ar-IQ"/>
        </w:rPr>
        <w:t>[27]</w:t>
      </w:r>
      <w:r w:rsidR="00061D14" w:rsidRPr="00861683">
        <w:rPr>
          <w:rFonts w:asciiTheme="majorBidi" w:hAnsiTheme="majorBidi" w:cstheme="majorBidi"/>
          <w:sz w:val="24"/>
          <w:szCs w:val="24"/>
        </w:rPr>
        <w:fldChar w:fldCharType="end"/>
      </w:r>
      <w:r w:rsidRPr="00861683">
        <w:rPr>
          <w:rFonts w:asciiTheme="majorBidi" w:hAnsiTheme="majorBidi" w:cstheme="majorBidi"/>
          <w:sz w:val="24"/>
          <w:szCs w:val="24"/>
          <w:lang w:bidi="ar-IQ"/>
        </w:rPr>
        <w:t xml:space="preserve">; </w:t>
      </w:r>
      <w:r w:rsidR="00061D14" w:rsidRPr="00861683">
        <w:rPr>
          <w:rFonts w:asciiTheme="majorBidi" w:hAnsiTheme="majorBidi" w:cstheme="majorBidi"/>
          <w:sz w:val="24"/>
          <w:szCs w:val="24"/>
        </w:rPr>
        <w:fldChar w:fldCharType="begin"/>
      </w:r>
      <w:r w:rsidR="0015764B" w:rsidRPr="00861683">
        <w:rPr>
          <w:rFonts w:asciiTheme="majorBidi" w:hAnsiTheme="majorBidi" w:cstheme="majorBidi"/>
          <w:sz w:val="24"/>
          <w:szCs w:val="24"/>
        </w:rPr>
        <w:instrText xml:space="preserve"> REF _Ref337287745 \r \h  \* MERGEFORMAT </w:instrText>
      </w:r>
      <w:r w:rsidR="00061D14" w:rsidRPr="00861683">
        <w:rPr>
          <w:rFonts w:asciiTheme="majorBidi" w:hAnsiTheme="majorBidi" w:cstheme="majorBidi"/>
          <w:sz w:val="24"/>
          <w:szCs w:val="24"/>
        </w:rPr>
      </w:r>
      <w:r w:rsidR="00061D14" w:rsidRPr="00861683">
        <w:rPr>
          <w:rFonts w:asciiTheme="majorBidi" w:hAnsiTheme="majorBidi" w:cstheme="majorBidi"/>
          <w:sz w:val="24"/>
          <w:szCs w:val="24"/>
        </w:rPr>
        <w:fldChar w:fldCharType="separate"/>
      </w:r>
      <w:proofErr w:type="spellStart"/>
      <w:r w:rsidR="00756FFD" w:rsidRPr="00861683">
        <w:rPr>
          <w:rFonts w:asciiTheme="majorBidi" w:hAnsiTheme="majorBidi" w:cstheme="majorBidi"/>
          <w:sz w:val="24"/>
          <w:szCs w:val="24"/>
          <w:cs/>
          <w:lang w:bidi="ar-IQ"/>
        </w:rPr>
        <w:t>‎</w:t>
      </w:r>
      <w:proofErr w:type="spellEnd"/>
      <w:r w:rsidR="00756FFD" w:rsidRPr="00861683">
        <w:rPr>
          <w:rFonts w:asciiTheme="majorBidi" w:hAnsiTheme="majorBidi" w:cstheme="majorBidi"/>
          <w:sz w:val="24"/>
          <w:szCs w:val="24"/>
          <w:lang w:bidi="ar-IQ"/>
        </w:rPr>
        <w:t>[28]</w:t>
      </w:r>
      <w:r w:rsidR="00061D14" w:rsidRPr="00861683">
        <w:rPr>
          <w:rFonts w:asciiTheme="majorBidi" w:hAnsiTheme="majorBidi" w:cstheme="majorBidi"/>
          <w:sz w:val="24"/>
          <w:szCs w:val="24"/>
        </w:rPr>
        <w:fldChar w:fldCharType="end"/>
      </w:r>
      <w:r w:rsidRPr="00861683">
        <w:rPr>
          <w:rFonts w:asciiTheme="majorBidi" w:hAnsiTheme="majorBidi" w:cstheme="majorBidi"/>
          <w:sz w:val="24"/>
          <w:szCs w:val="24"/>
          <w:lang w:bidi="ar-IQ"/>
        </w:rPr>
        <w:t>.</w:t>
      </w:r>
    </w:p>
    <w:p w:rsidR="00CC6103" w:rsidRDefault="00CC6103" w:rsidP="00861683">
      <w:pPr>
        <w:pStyle w:val="1"/>
        <w:numPr>
          <w:ilvl w:val="0"/>
          <w:numId w:val="0"/>
        </w:numPr>
        <w:spacing w:before="0" w:after="0"/>
        <w:jc w:val="left"/>
        <w:rPr>
          <w:rFonts w:asciiTheme="majorBidi" w:eastAsia="Calibri" w:hAnsiTheme="majorBidi" w:cstheme="majorBidi"/>
          <w:b/>
          <w:bCs/>
          <w:smallCaps w:val="0"/>
          <w:kern w:val="0"/>
          <w:sz w:val="24"/>
          <w:szCs w:val="24"/>
          <w:u w:val="single"/>
          <w:lang w:bidi="ar-IQ"/>
        </w:rPr>
      </w:pPr>
    </w:p>
    <w:p w:rsidR="00732935" w:rsidRPr="00861683" w:rsidRDefault="00732935" w:rsidP="00861683">
      <w:pPr>
        <w:pStyle w:val="1"/>
        <w:numPr>
          <w:ilvl w:val="0"/>
          <w:numId w:val="0"/>
        </w:numPr>
        <w:spacing w:before="0" w:after="0"/>
        <w:jc w:val="left"/>
        <w:rPr>
          <w:rFonts w:asciiTheme="majorBidi" w:eastAsia="Calibri" w:hAnsiTheme="majorBidi" w:cstheme="majorBidi"/>
          <w:b/>
          <w:bCs/>
          <w:smallCaps w:val="0"/>
          <w:kern w:val="0"/>
          <w:sz w:val="24"/>
          <w:szCs w:val="24"/>
          <w:u w:val="single"/>
          <w:lang w:bidi="ar-IQ"/>
        </w:rPr>
      </w:pPr>
      <w:r w:rsidRPr="00861683">
        <w:rPr>
          <w:rFonts w:asciiTheme="majorBidi" w:eastAsia="Calibri" w:hAnsiTheme="majorBidi" w:cstheme="majorBidi"/>
          <w:b/>
          <w:bCs/>
          <w:smallCaps w:val="0"/>
          <w:kern w:val="0"/>
          <w:sz w:val="24"/>
          <w:szCs w:val="24"/>
          <w:u w:val="single"/>
          <w:lang w:bidi="ar-IQ"/>
        </w:rPr>
        <w:t xml:space="preserve">Conclusions </w:t>
      </w:r>
    </w:p>
    <w:p w:rsidR="00732935" w:rsidRPr="00861683" w:rsidRDefault="00732935" w:rsidP="00861683">
      <w:pPr>
        <w:spacing w:after="0" w:line="240" w:lineRule="auto"/>
        <w:ind w:firstLine="720"/>
        <w:jc w:val="both"/>
        <w:rPr>
          <w:rFonts w:asciiTheme="majorBidi" w:hAnsiTheme="majorBidi" w:cstheme="majorBidi"/>
          <w:sz w:val="24"/>
          <w:szCs w:val="24"/>
          <w:lang w:bidi="ar-IQ"/>
        </w:rPr>
      </w:pPr>
      <w:r w:rsidRPr="00861683">
        <w:rPr>
          <w:rFonts w:asciiTheme="majorBidi" w:hAnsiTheme="majorBidi" w:cstheme="majorBidi"/>
          <w:sz w:val="24"/>
          <w:szCs w:val="24"/>
          <w:lang w:bidi="ar-IQ"/>
        </w:rPr>
        <w:t xml:space="preserve">The sensitivity of RT-PCR is higher compared to acid fast staining, </w:t>
      </w:r>
      <w:r w:rsidRPr="00861683">
        <w:rPr>
          <w:rFonts w:asciiTheme="majorBidi" w:hAnsiTheme="majorBidi" w:cstheme="majorBidi"/>
          <w:sz w:val="24"/>
          <w:szCs w:val="24"/>
          <w:lang w:bidi="ar-IQ"/>
        </w:rPr>
        <w:lastRenderedPageBreak/>
        <w:t>culture and serology. The using of both AFB smear and RT-PCR as diagnostic tests for tuberculosis showed the higher sensitivity as compared with the using of the RT-PCR, AFB smear, culture and ICG as a single test. For a rapid, more sensitive and specific laboratory diagnosis of tuberculosis, the use of both AFB smear and RT-PCR is recommended.</w:t>
      </w:r>
    </w:p>
    <w:p w:rsidR="00861683" w:rsidRDefault="00861683" w:rsidP="000312AC">
      <w:pPr>
        <w:spacing w:line="240" w:lineRule="auto"/>
        <w:ind w:left="284" w:firstLine="436"/>
        <w:jc w:val="both"/>
        <w:rPr>
          <w:rFonts w:ascii="Times New Roman" w:hAnsi="Times New Roman"/>
          <w:sz w:val="20"/>
          <w:szCs w:val="20"/>
          <w:lang w:bidi="ar-IQ"/>
        </w:rPr>
        <w:sectPr w:rsidR="00861683" w:rsidSect="00861683">
          <w:type w:val="continuous"/>
          <w:pgSz w:w="11907" w:h="16840" w:code="9"/>
          <w:pgMar w:top="1440" w:right="1800" w:bottom="1440" w:left="1800" w:header="1138" w:footer="514" w:gutter="0"/>
          <w:cols w:num="2" w:space="709"/>
          <w:titlePg/>
          <w:docGrid w:linePitch="360"/>
        </w:sectPr>
      </w:pPr>
    </w:p>
    <w:p w:rsidR="00861683" w:rsidRDefault="00861683" w:rsidP="00771EA3">
      <w:pPr>
        <w:spacing w:after="0" w:line="240" w:lineRule="auto"/>
        <w:rPr>
          <w:rFonts w:ascii="Times New Roman" w:hAnsi="Times New Roman"/>
          <w:b/>
          <w:bCs/>
          <w:sz w:val="20"/>
          <w:szCs w:val="20"/>
          <w:lang w:bidi="ar-IQ"/>
        </w:rPr>
      </w:pPr>
    </w:p>
    <w:p w:rsidR="000312AC" w:rsidRPr="00771EA3" w:rsidRDefault="008F5111" w:rsidP="00771EA3">
      <w:pPr>
        <w:spacing w:after="0" w:line="240" w:lineRule="auto"/>
        <w:rPr>
          <w:rFonts w:ascii="Times New Roman" w:hAnsi="Times New Roman"/>
          <w:sz w:val="24"/>
          <w:szCs w:val="24"/>
          <w:lang w:bidi="ar-IQ"/>
        </w:rPr>
      </w:pPr>
      <w:r w:rsidRPr="00771EA3">
        <w:rPr>
          <w:rFonts w:ascii="Times New Roman" w:hAnsi="Times New Roman"/>
          <w:b/>
          <w:bCs/>
          <w:sz w:val="24"/>
          <w:szCs w:val="24"/>
          <w:u w:val="single"/>
          <w:lang w:bidi="ar-IQ"/>
        </w:rPr>
        <w:t xml:space="preserve">Table </w:t>
      </w:r>
      <w:r w:rsidR="000312AC" w:rsidRPr="00771EA3">
        <w:rPr>
          <w:rFonts w:ascii="Times New Roman" w:hAnsi="Times New Roman"/>
          <w:b/>
          <w:bCs/>
          <w:sz w:val="24"/>
          <w:szCs w:val="24"/>
          <w:u w:val="single"/>
          <w:lang w:bidi="ar-IQ"/>
        </w:rPr>
        <w:t>1</w:t>
      </w:r>
      <w:r w:rsidR="000312AC" w:rsidRPr="00771EA3">
        <w:rPr>
          <w:rFonts w:ascii="Times New Roman" w:hAnsi="Times New Roman"/>
          <w:b/>
          <w:bCs/>
          <w:sz w:val="24"/>
          <w:szCs w:val="24"/>
          <w:lang w:bidi="ar-IQ"/>
        </w:rPr>
        <w:t xml:space="preserve"> </w:t>
      </w:r>
      <w:r w:rsidR="000312AC" w:rsidRPr="00771EA3">
        <w:rPr>
          <w:rFonts w:ascii="Times New Roman" w:hAnsi="Times New Roman"/>
          <w:sz w:val="24"/>
          <w:szCs w:val="24"/>
          <w:lang w:bidi="ar-IQ"/>
        </w:rPr>
        <w:t>Results</w:t>
      </w:r>
      <w:r w:rsidR="000312AC" w:rsidRPr="00771EA3">
        <w:rPr>
          <w:rFonts w:ascii="Times New Roman" w:hAnsi="Times New Roman"/>
          <w:b/>
          <w:bCs/>
          <w:sz w:val="24"/>
          <w:szCs w:val="24"/>
          <w:lang w:bidi="ar-IQ"/>
        </w:rPr>
        <w:t xml:space="preserve"> </w:t>
      </w:r>
      <w:r w:rsidR="000312AC" w:rsidRPr="00771EA3">
        <w:rPr>
          <w:rFonts w:ascii="Times New Roman" w:hAnsi="Times New Roman"/>
          <w:sz w:val="24"/>
          <w:szCs w:val="24"/>
          <w:lang w:bidi="ar-IQ"/>
        </w:rPr>
        <w:t>of laboratory tests of the TB patients in this study:</w:t>
      </w:r>
    </w:p>
    <w:tbl>
      <w:tblPr>
        <w:tblW w:w="0" w:type="auto"/>
        <w:tblBorders>
          <w:top w:val="single" w:sz="8" w:space="0" w:color="000000"/>
          <w:bottom w:val="single" w:sz="8" w:space="0" w:color="000000"/>
        </w:tblBorders>
        <w:tblLook w:val="06A0"/>
      </w:tblPr>
      <w:tblGrid>
        <w:gridCol w:w="3720"/>
        <w:gridCol w:w="1917"/>
        <w:gridCol w:w="2885"/>
      </w:tblGrid>
      <w:tr w:rsidR="000312AC" w:rsidRPr="001B07DE" w:rsidTr="00F23446">
        <w:trPr>
          <w:trHeight w:val="360"/>
        </w:trPr>
        <w:tc>
          <w:tcPr>
            <w:tcW w:w="3720" w:type="dxa"/>
            <w:vMerge w:val="restart"/>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Laboratory Diagnostic test</w:t>
            </w:r>
          </w:p>
        </w:tc>
        <w:tc>
          <w:tcPr>
            <w:tcW w:w="4802" w:type="dxa"/>
            <w:gridSpan w:val="2"/>
            <w:tcBorders>
              <w:bottom w:val="single" w:sz="4" w:space="0" w:color="auto"/>
            </w:tcBorders>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 xml:space="preserve">No. of positive patients  (%) </w:t>
            </w:r>
          </w:p>
        </w:tc>
      </w:tr>
      <w:tr w:rsidR="000312AC" w:rsidRPr="001B07DE" w:rsidTr="00F23446">
        <w:trPr>
          <w:trHeight w:val="465"/>
        </w:trPr>
        <w:tc>
          <w:tcPr>
            <w:tcW w:w="3720" w:type="dxa"/>
            <w:vMerge/>
          </w:tcPr>
          <w:p w:rsidR="000312AC" w:rsidRPr="00EF22E4" w:rsidRDefault="000312AC" w:rsidP="00F23446">
            <w:pPr>
              <w:spacing w:after="0" w:line="360" w:lineRule="auto"/>
              <w:jc w:val="center"/>
              <w:rPr>
                <w:rFonts w:ascii="Times New Roman" w:hAnsi="Times New Roman"/>
                <w:sz w:val="20"/>
                <w:szCs w:val="20"/>
                <w:lang w:bidi="ar-IQ"/>
              </w:rPr>
            </w:pPr>
          </w:p>
        </w:tc>
        <w:tc>
          <w:tcPr>
            <w:tcW w:w="1917" w:type="dxa"/>
            <w:tcBorders>
              <w:top w:val="single" w:sz="4" w:space="0" w:color="auto"/>
              <w:right w:val="single" w:sz="4" w:space="0" w:color="auto"/>
            </w:tcBorders>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PTB (n=124)</w:t>
            </w:r>
          </w:p>
        </w:tc>
        <w:tc>
          <w:tcPr>
            <w:tcW w:w="2885" w:type="dxa"/>
            <w:tcBorders>
              <w:top w:val="single" w:sz="4" w:space="0" w:color="auto"/>
              <w:left w:val="single" w:sz="4" w:space="0" w:color="auto"/>
            </w:tcBorders>
          </w:tcPr>
          <w:p w:rsidR="000312AC" w:rsidRPr="00EF22E4" w:rsidRDefault="000312AC" w:rsidP="00F23446">
            <w:pPr>
              <w:spacing w:after="0" w:line="360" w:lineRule="auto"/>
              <w:jc w:val="center"/>
              <w:rPr>
                <w:rFonts w:ascii="Times New Roman" w:hAnsi="Times New Roman"/>
                <w:sz w:val="20"/>
                <w:szCs w:val="20"/>
                <w:lang w:bidi="ar-IQ"/>
              </w:rPr>
            </w:pPr>
            <w:proofErr w:type="spellStart"/>
            <w:r w:rsidRPr="00EF22E4">
              <w:rPr>
                <w:rFonts w:ascii="Times New Roman" w:hAnsi="Times New Roman"/>
                <w:sz w:val="20"/>
                <w:szCs w:val="20"/>
                <w:lang w:bidi="ar-IQ"/>
              </w:rPr>
              <w:t>Extrapulmonary</w:t>
            </w:r>
            <w:proofErr w:type="spellEnd"/>
            <w:r w:rsidRPr="00EF22E4">
              <w:rPr>
                <w:rFonts w:ascii="Times New Roman" w:hAnsi="Times New Roman"/>
                <w:sz w:val="20"/>
                <w:szCs w:val="20"/>
                <w:lang w:bidi="ar-IQ"/>
              </w:rPr>
              <w:t xml:space="preserve"> TB (n=12)</w:t>
            </w:r>
          </w:p>
        </w:tc>
      </w:tr>
      <w:tr w:rsidR="000312AC" w:rsidRPr="001B07DE" w:rsidTr="00F23446">
        <w:tc>
          <w:tcPr>
            <w:tcW w:w="3720" w:type="dxa"/>
          </w:tcPr>
          <w:p w:rsidR="000312AC" w:rsidRPr="00EF22E4" w:rsidRDefault="000312AC" w:rsidP="00F23446">
            <w:pPr>
              <w:spacing w:after="0" w:line="360" w:lineRule="auto"/>
              <w:jc w:val="center"/>
              <w:rPr>
                <w:rFonts w:ascii="Times New Roman" w:hAnsi="Times New Roman"/>
                <w:b/>
                <w:bCs/>
                <w:sz w:val="20"/>
                <w:szCs w:val="20"/>
                <w:lang w:bidi="ar-IQ"/>
              </w:rPr>
            </w:pPr>
            <w:r w:rsidRPr="00EF22E4">
              <w:rPr>
                <w:rFonts w:ascii="Times New Roman" w:hAnsi="Times New Roman"/>
                <w:sz w:val="20"/>
                <w:szCs w:val="20"/>
                <w:lang w:bidi="ar-IQ"/>
              </w:rPr>
              <w:t>AFB Smear</w:t>
            </w:r>
          </w:p>
        </w:tc>
        <w:tc>
          <w:tcPr>
            <w:tcW w:w="1917" w:type="dxa"/>
            <w:tcBorders>
              <w:right w:val="single" w:sz="4" w:space="0" w:color="auto"/>
            </w:tcBorders>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92 (74%)</w:t>
            </w:r>
          </w:p>
        </w:tc>
        <w:tc>
          <w:tcPr>
            <w:tcW w:w="2885" w:type="dxa"/>
            <w:tcBorders>
              <w:left w:val="single" w:sz="4" w:space="0" w:color="auto"/>
            </w:tcBorders>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12 (100%)</w:t>
            </w:r>
          </w:p>
        </w:tc>
      </w:tr>
      <w:tr w:rsidR="000312AC" w:rsidRPr="001B07DE" w:rsidTr="00F23446">
        <w:tc>
          <w:tcPr>
            <w:tcW w:w="3720" w:type="dxa"/>
          </w:tcPr>
          <w:p w:rsidR="000312AC" w:rsidRPr="00EF22E4" w:rsidRDefault="000312AC" w:rsidP="00F23446">
            <w:pPr>
              <w:spacing w:after="0" w:line="360" w:lineRule="auto"/>
              <w:jc w:val="center"/>
              <w:rPr>
                <w:rFonts w:ascii="Times New Roman" w:hAnsi="Times New Roman"/>
                <w:b/>
                <w:bCs/>
                <w:sz w:val="20"/>
                <w:szCs w:val="20"/>
                <w:lang w:bidi="ar-IQ"/>
              </w:rPr>
            </w:pPr>
            <w:r w:rsidRPr="00EF22E4">
              <w:rPr>
                <w:rFonts w:ascii="Times New Roman" w:hAnsi="Times New Roman"/>
                <w:sz w:val="20"/>
                <w:szCs w:val="20"/>
                <w:lang w:bidi="ar-IQ"/>
              </w:rPr>
              <w:t>Culture</w:t>
            </w:r>
          </w:p>
        </w:tc>
        <w:tc>
          <w:tcPr>
            <w:tcW w:w="1917" w:type="dxa"/>
            <w:tcBorders>
              <w:right w:val="single" w:sz="4" w:space="0" w:color="auto"/>
            </w:tcBorders>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54 (43%)</w:t>
            </w:r>
          </w:p>
        </w:tc>
        <w:tc>
          <w:tcPr>
            <w:tcW w:w="2885" w:type="dxa"/>
            <w:tcBorders>
              <w:left w:val="single" w:sz="4" w:space="0" w:color="auto"/>
            </w:tcBorders>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0</w:t>
            </w:r>
          </w:p>
        </w:tc>
      </w:tr>
      <w:tr w:rsidR="000312AC" w:rsidRPr="001B07DE" w:rsidTr="00F23446">
        <w:tc>
          <w:tcPr>
            <w:tcW w:w="3720" w:type="dxa"/>
          </w:tcPr>
          <w:p w:rsidR="000312AC" w:rsidRPr="00EF22E4" w:rsidRDefault="000312AC" w:rsidP="00F23446">
            <w:pPr>
              <w:spacing w:after="0" w:line="360" w:lineRule="auto"/>
              <w:jc w:val="center"/>
              <w:rPr>
                <w:rFonts w:ascii="Times New Roman" w:hAnsi="Times New Roman"/>
                <w:b/>
                <w:bCs/>
                <w:sz w:val="20"/>
                <w:szCs w:val="20"/>
                <w:lang w:bidi="ar-IQ"/>
              </w:rPr>
            </w:pPr>
            <w:r w:rsidRPr="00EF22E4">
              <w:rPr>
                <w:rFonts w:ascii="Times New Roman" w:hAnsi="Times New Roman"/>
                <w:sz w:val="20"/>
                <w:szCs w:val="20"/>
                <w:lang w:bidi="ar-IQ"/>
              </w:rPr>
              <w:t>RT-PCR</w:t>
            </w:r>
          </w:p>
        </w:tc>
        <w:tc>
          <w:tcPr>
            <w:tcW w:w="1917" w:type="dxa"/>
            <w:tcBorders>
              <w:right w:val="single" w:sz="4" w:space="0" w:color="auto"/>
            </w:tcBorders>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110 (88%)</w:t>
            </w:r>
          </w:p>
        </w:tc>
        <w:tc>
          <w:tcPr>
            <w:tcW w:w="2885" w:type="dxa"/>
            <w:tcBorders>
              <w:left w:val="single" w:sz="4" w:space="0" w:color="auto"/>
            </w:tcBorders>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0</w:t>
            </w:r>
          </w:p>
        </w:tc>
      </w:tr>
      <w:tr w:rsidR="000312AC" w:rsidRPr="001B07DE" w:rsidTr="00F23446">
        <w:tc>
          <w:tcPr>
            <w:tcW w:w="3720" w:type="dxa"/>
          </w:tcPr>
          <w:p w:rsidR="000312AC" w:rsidRPr="00EF22E4" w:rsidRDefault="000312AC" w:rsidP="00F23446">
            <w:pPr>
              <w:spacing w:after="0" w:line="360" w:lineRule="auto"/>
              <w:jc w:val="center"/>
              <w:rPr>
                <w:rFonts w:ascii="Times New Roman" w:hAnsi="Times New Roman"/>
                <w:b/>
                <w:bCs/>
                <w:sz w:val="20"/>
                <w:szCs w:val="20"/>
                <w:lang w:bidi="ar-IQ"/>
              </w:rPr>
            </w:pPr>
            <w:r w:rsidRPr="00EF22E4">
              <w:rPr>
                <w:rFonts w:ascii="Times New Roman" w:hAnsi="Times New Roman"/>
                <w:sz w:val="20"/>
                <w:szCs w:val="20"/>
                <w:lang w:bidi="ar-IQ"/>
              </w:rPr>
              <w:t xml:space="preserve">ICG </w:t>
            </w:r>
          </w:p>
        </w:tc>
        <w:tc>
          <w:tcPr>
            <w:tcW w:w="1917" w:type="dxa"/>
            <w:tcBorders>
              <w:right w:val="single" w:sz="4" w:space="0" w:color="auto"/>
            </w:tcBorders>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30 (24%)</w:t>
            </w:r>
          </w:p>
        </w:tc>
        <w:tc>
          <w:tcPr>
            <w:tcW w:w="2885" w:type="dxa"/>
            <w:tcBorders>
              <w:left w:val="single" w:sz="4" w:space="0" w:color="auto"/>
            </w:tcBorders>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 xml:space="preserve">6 (50%) </w:t>
            </w:r>
          </w:p>
        </w:tc>
      </w:tr>
    </w:tbl>
    <w:p w:rsidR="000312AC" w:rsidRPr="001B07DE" w:rsidRDefault="000312AC" w:rsidP="000312AC">
      <w:pPr>
        <w:spacing w:after="0"/>
        <w:rPr>
          <w:rFonts w:ascii="Times New Roman" w:hAnsi="Times New Roman"/>
          <w:sz w:val="20"/>
          <w:szCs w:val="20"/>
          <w:lang w:bidi="ar-IQ"/>
        </w:rPr>
      </w:pPr>
    </w:p>
    <w:p w:rsidR="000312AC" w:rsidRPr="00771EA3" w:rsidRDefault="008F5111" w:rsidP="00771EA3">
      <w:pPr>
        <w:spacing w:after="0" w:line="240" w:lineRule="auto"/>
        <w:rPr>
          <w:rFonts w:ascii="Times New Roman" w:hAnsi="Times New Roman"/>
          <w:sz w:val="24"/>
          <w:szCs w:val="24"/>
          <w:lang w:bidi="ar-IQ"/>
        </w:rPr>
      </w:pPr>
      <w:r w:rsidRPr="00771EA3">
        <w:rPr>
          <w:rFonts w:ascii="Times New Roman" w:hAnsi="Times New Roman"/>
          <w:b/>
          <w:bCs/>
          <w:sz w:val="24"/>
          <w:szCs w:val="24"/>
          <w:u w:val="single"/>
          <w:lang w:bidi="ar-IQ"/>
        </w:rPr>
        <w:t xml:space="preserve">Table </w:t>
      </w:r>
      <w:r w:rsidR="000312AC" w:rsidRPr="00771EA3">
        <w:rPr>
          <w:rFonts w:ascii="Times New Roman" w:hAnsi="Times New Roman"/>
          <w:b/>
          <w:bCs/>
          <w:sz w:val="24"/>
          <w:szCs w:val="24"/>
          <w:u w:val="single"/>
          <w:lang w:bidi="ar-IQ"/>
        </w:rPr>
        <w:t>2</w:t>
      </w:r>
      <w:r w:rsidRPr="00771EA3">
        <w:rPr>
          <w:rFonts w:ascii="Times New Roman" w:hAnsi="Times New Roman"/>
          <w:b/>
          <w:bCs/>
          <w:sz w:val="24"/>
          <w:szCs w:val="24"/>
          <w:u w:val="single"/>
          <w:lang w:bidi="ar-IQ"/>
        </w:rPr>
        <w:t xml:space="preserve"> </w:t>
      </w:r>
      <w:r w:rsidR="000312AC" w:rsidRPr="00771EA3">
        <w:rPr>
          <w:rFonts w:ascii="Times New Roman" w:hAnsi="Times New Roman"/>
          <w:sz w:val="24"/>
          <w:szCs w:val="24"/>
          <w:lang w:bidi="ar-IQ"/>
        </w:rPr>
        <w:t>AFB smear</w:t>
      </w:r>
      <w:r w:rsidR="000312AC" w:rsidRPr="00771EA3">
        <w:rPr>
          <w:rFonts w:ascii="Times New Roman" w:hAnsi="Times New Roman"/>
          <w:b/>
          <w:bCs/>
          <w:sz w:val="24"/>
          <w:szCs w:val="24"/>
          <w:lang w:bidi="ar-IQ"/>
        </w:rPr>
        <w:t xml:space="preserve"> </w:t>
      </w:r>
      <w:r w:rsidR="000312AC" w:rsidRPr="00771EA3">
        <w:rPr>
          <w:rFonts w:ascii="Times New Roman" w:hAnsi="Times New Roman"/>
          <w:sz w:val="24"/>
          <w:szCs w:val="24"/>
          <w:lang w:bidi="ar-IQ"/>
        </w:rPr>
        <w:t>results of 124 specimens of PTB patients compared with  RT-PCR, culture and ICG:</w:t>
      </w:r>
    </w:p>
    <w:tbl>
      <w:tblPr>
        <w:tblW w:w="0" w:type="auto"/>
        <w:jc w:val="center"/>
        <w:tblBorders>
          <w:top w:val="single" w:sz="8" w:space="0" w:color="000000"/>
          <w:bottom w:val="single" w:sz="8" w:space="0" w:color="000000"/>
        </w:tblBorders>
        <w:tblLook w:val="06A0"/>
      </w:tblPr>
      <w:tblGrid>
        <w:gridCol w:w="959"/>
        <w:gridCol w:w="992"/>
        <w:gridCol w:w="1015"/>
        <w:gridCol w:w="1016"/>
        <w:gridCol w:w="1016"/>
        <w:gridCol w:w="1016"/>
        <w:gridCol w:w="1016"/>
        <w:gridCol w:w="1016"/>
      </w:tblGrid>
      <w:tr w:rsidR="000312AC" w:rsidRPr="001B07DE" w:rsidTr="00F23446">
        <w:trPr>
          <w:trHeight w:val="315"/>
          <w:jc w:val="center"/>
        </w:trPr>
        <w:tc>
          <w:tcPr>
            <w:tcW w:w="1951" w:type="dxa"/>
            <w:gridSpan w:val="2"/>
            <w:vMerge w:val="restart"/>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Results</w:t>
            </w:r>
          </w:p>
        </w:tc>
        <w:tc>
          <w:tcPr>
            <w:tcW w:w="2031" w:type="dxa"/>
            <w:gridSpan w:val="2"/>
            <w:tcBorders>
              <w:righ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RT-PCR</w:t>
            </w:r>
          </w:p>
        </w:tc>
        <w:tc>
          <w:tcPr>
            <w:tcW w:w="2032" w:type="dxa"/>
            <w:gridSpan w:val="2"/>
            <w:tcBorders>
              <w:left w:val="single" w:sz="4" w:space="0" w:color="auto"/>
              <w:righ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Culture</w:t>
            </w:r>
          </w:p>
        </w:tc>
        <w:tc>
          <w:tcPr>
            <w:tcW w:w="2032" w:type="dxa"/>
            <w:gridSpan w:val="2"/>
            <w:tcBorders>
              <w:lef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ICG</w:t>
            </w:r>
          </w:p>
        </w:tc>
      </w:tr>
      <w:tr w:rsidR="000312AC" w:rsidRPr="001B07DE" w:rsidTr="00F23446">
        <w:trPr>
          <w:trHeight w:val="165"/>
          <w:jc w:val="center"/>
        </w:trPr>
        <w:tc>
          <w:tcPr>
            <w:tcW w:w="1951" w:type="dxa"/>
            <w:gridSpan w:val="2"/>
            <w:vMerge/>
            <w:vAlign w:val="center"/>
          </w:tcPr>
          <w:p w:rsidR="000312AC" w:rsidRPr="00EF22E4" w:rsidRDefault="000312AC" w:rsidP="00F23446">
            <w:pPr>
              <w:spacing w:after="0" w:line="360" w:lineRule="auto"/>
              <w:jc w:val="center"/>
              <w:rPr>
                <w:rFonts w:ascii="Times New Roman" w:hAnsi="Times New Roman"/>
                <w:sz w:val="20"/>
                <w:szCs w:val="20"/>
                <w:lang w:bidi="ar-IQ"/>
              </w:rPr>
            </w:pPr>
          </w:p>
        </w:tc>
        <w:tc>
          <w:tcPr>
            <w:tcW w:w="1015" w:type="dxa"/>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w:t>
            </w:r>
            <w:proofErr w:type="spellStart"/>
            <w:r w:rsidRPr="00EF22E4">
              <w:rPr>
                <w:rFonts w:ascii="Times New Roman" w:hAnsi="Times New Roman"/>
                <w:sz w:val="20"/>
                <w:szCs w:val="20"/>
                <w:lang w:bidi="ar-IQ"/>
              </w:rPr>
              <w:t>ev</w:t>
            </w:r>
            <w:proofErr w:type="spellEnd"/>
          </w:p>
        </w:tc>
        <w:tc>
          <w:tcPr>
            <w:tcW w:w="1016" w:type="dxa"/>
            <w:tcBorders>
              <w:righ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w:t>
            </w:r>
            <w:proofErr w:type="spellStart"/>
            <w:r w:rsidRPr="00EF22E4">
              <w:rPr>
                <w:rFonts w:ascii="Times New Roman" w:hAnsi="Times New Roman"/>
                <w:sz w:val="20"/>
                <w:szCs w:val="20"/>
                <w:lang w:bidi="ar-IQ"/>
              </w:rPr>
              <w:t>ev</w:t>
            </w:r>
            <w:proofErr w:type="spellEnd"/>
          </w:p>
        </w:tc>
        <w:tc>
          <w:tcPr>
            <w:tcW w:w="1016" w:type="dxa"/>
            <w:tcBorders>
              <w:lef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w:t>
            </w:r>
            <w:proofErr w:type="spellStart"/>
            <w:r w:rsidRPr="00EF22E4">
              <w:rPr>
                <w:rFonts w:ascii="Times New Roman" w:hAnsi="Times New Roman"/>
                <w:sz w:val="20"/>
                <w:szCs w:val="20"/>
                <w:lang w:bidi="ar-IQ"/>
              </w:rPr>
              <w:t>ev</w:t>
            </w:r>
            <w:proofErr w:type="spellEnd"/>
          </w:p>
        </w:tc>
        <w:tc>
          <w:tcPr>
            <w:tcW w:w="1016" w:type="dxa"/>
            <w:tcBorders>
              <w:righ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w:t>
            </w:r>
            <w:proofErr w:type="spellStart"/>
            <w:r w:rsidRPr="00EF22E4">
              <w:rPr>
                <w:rFonts w:ascii="Times New Roman" w:hAnsi="Times New Roman"/>
                <w:sz w:val="20"/>
                <w:szCs w:val="20"/>
                <w:lang w:bidi="ar-IQ"/>
              </w:rPr>
              <w:t>ev</w:t>
            </w:r>
            <w:proofErr w:type="spellEnd"/>
          </w:p>
        </w:tc>
        <w:tc>
          <w:tcPr>
            <w:tcW w:w="1016" w:type="dxa"/>
            <w:tcBorders>
              <w:lef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w:t>
            </w:r>
            <w:proofErr w:type="spellStart"/>
            <w:r w:rsidRPr="00EF22E4">
              <w:rPr>
                <w:rFonts w:ascii="Times New Roman" w:hAnsi="Times New Roman"/>
                <w:sz w:val="20"/>
                <w:szCs w:val="20"/>
                <w:lang w:bidi="ar-IQ"/>
              </w:rPr>
              <w:t>ev</w:t>
            </w:r>
            <w:proofErr w:type="spellEnd"/>
          </w:p>
        </w:tc>
        <w:tc>
          <w:tcPr>
            <w:tcW w:w="1016" w:type="dxa"/>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w:t>
            </w:r>
            <w:proofErr w:type="spellStart"/>
            <w:r w:rsidRPr="00EF22E4">
              <w:rPr>
                <w:rFonts w:ascii="Times New Roman" w:hAnsi="Times New Roman"/>
                <w:sz w:val="20"/>
                <w:szCs w:val="20"/>
                <w:lang w:bidi="ar-IQ"/>
              </w:rPr>
              <w:t>ev</w:t>
            </w:r>
            <w:proofErr w:type="spellEnd"/>
          </w:p>
        </w:tc>
      </w:tr>
      <w:tr w:rsidR="000312AC" w:rsidRPr="001B07DE" w:rsidTr="00F23446">
        <w:trPr>
          <w:jc w:val="center"/>
        </w:trPr>
        <w:tc>
          <w:tcPr>
            <w:tcW w:w="959" w:type="dxa"/>
            <w:vMerge w:val="restart"/>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AFB Smear</w:t>
            </w:r>
          </w:p>
        </w:tc>
        <w:tc>
          <w:tcPr>
            <w:tcW w:w="992" w:type="dxa"/>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w:t>
            </w:r>
            <w:proofErr w:type="spellStart"/>
            <w:r w:rsidRPr="00EF22E4">
              <w:rPr>
                <w:rFonts w:ascii="Times New Roman" w:hAnsi="Times New Roman"/>
                <w:sz w:val="20"/>
                <w:szCs w:val="20"/>
                <w:lang w:bidi="ar-IQ"/>
              </w:rPr>
              <w:t>ev</w:t>
            </w:r>
            <w:proofErr w:type="spellEnd"/>
            <w:r w:rsidRPr="00EF22E4">
              <w:rPr>
                <w:rFonts w:ascii="Times New Roman" w:hAnsi="Times New Roman"/>
                <w:sz w:val="20"/>
                <w:szCs w:val="20"/>
                <w:lang w:bidi="ar-IQ"/>
              </w:rPr>
              <w:t xml:space="preserve"> 92</w:t>
            </w:r>
          </w:p>
        </w:tc>
        <w:tc>
          <w:tcPr>
            <w:tcW w:w="1015" w:type="dxa"/>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80</w:t>
            </w:r>
          </w:p>
        </w:tc>
        <w:tc>
          <w:tcPr>
            <w:tcW w:w="1016" w:type="dxa"/>
            <w:tcBorders>
              <w:right w:val="single" w:sz="4" w:space="0" w:color="auto"/>
            </w:tcBorders>
            <w:vAlign w:val="center"/>
          </w:tcPr>
          <w:p w:rsidR="000312AC" w:rsidRPr="00EF22E4" w:rsidRDefault="001B3ED1" w:rsidP="00F23446">
            <w:pPr>
              <w:spacing w:after="0" w:line="360" w:lineRule="auto"/>
              <w:jc w:val="center"/>
              <w:rPr>
                <w:rFonts w:ascii="Times New Roman" w:hAnsi="Times New Roman"/>
                <w:sz w:val="20"/>
                <w:szCs w:val="20"/>
                <w:lang w:bidi="ar-IQ"/>
              </w:rPr>
            </w:pPr>
            <w:r>
              <w:rPr>
                <w:rFonts w:ascii="Times New Roman" w:hAnsi="Times New Roman"/>
                <w:sz w:val="20"/>
                <w:szCs w:val="20"/>
                <w:lang w:bidi="ar-IQ"/>
              </w:rPr>
              <w:t>12</w:t>
            </w:r>
          </w:p>
        </w:tc>
        <w:tc>
          <w:tcPr>
            <w:tcW w:w="1016" w:type="dxa"/>
            <w:tcBorders>
              <w:lef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42</w:t>
            </w:r>
          </w:p>
        </w:tc>
        <w:tc>
          <w:tcPr>
            <w:tcW w:w="1016" w:type="dxa"/>
            <w:tcBorders>
              <w:righ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50</w:t>
            </w:r>
          </w:p>
        </w:tc>
        <w:tc>
          <w:tcPr>
            <w:tcW w:w="1016" w:type="dxa"/>
            <w:tcBorders>
              <w:lef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24</w:t>
            </w:r>
          </w:p>
        </w:tc>
        <w:tc>
          <w:tcPr>
            <w:tcW w:w="1016" w:type="dxa"/>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68</w:t>
            </w:r>
          </w:p>
        </w:tc>
      </w:tr>
      <w:tr w:rsidR="000312AC" w:rsidRPr="001B07DE" w:rsidTr="00F23446">
        <w:trPr>
          <w:jc w:val="center"/>
        </w:trPr>
        <w:tc>
          <w:tcPr>
            <w:tcW w:w="959" w:type="dxa"/>
            <w:vMerge/>
            <w:vAlign w:val="center"/>
          </w:tcPr>
          <w:p w:rsidR="000312AC" w:rsidRPr="00EF22E4" w:rsidRDefault="000312AC" w:rsidP="00F23446">
            <w:pPr>
              <w:spacing w:after="0" w:line="360" w:lineRule="auto"/>
              <w:jc w:val="center"/>
              <w:rPr>
                <w:rFonts w:ascii="Times New Roman" w:hAnsi="Times New Roman"/>
                <w:sz w:val="20"/>
                <w:szCs w:val="20"/>
                <w:lang w:bidi="ar-IQ"/>
              </w:rPr>
            </w:pPr>
          </w:p>
        </w:tc>
        <w:tc>
          <w:tcPr>
            <w:tcW w:w="992" w:type="dxa"/>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w:t>
            </w:r>
            <w:proofErr w:type="spellStart"/>
            <w:r w:rsidRPr="00EF22E4">
              <w:rPr>
                <w:rFonts w:ascii="Times New Roman" w:hAnsi="Times New Roman"/>
                <w:sz w:val="20"/>
                <w:szCs w:val="20"/>
                <w:lang w:bidi="ar-IQ"/>
              </w:rPr>
              <w:t>ev</w:t>
            </w:r>
            <w:proofErr w:type="spellEnd"/>
            <w:r w:rsidRPr="00EF22E4">
              <w:rPr>
                <w:rFonts w:ascii="Times New Roman" w:hAnsi="Times New Roman"/>
                <w:sz w:val="20"/>
                <w:szCs w:val="20"/>
                <w:lang w:bidi="ar-IQ"/>
              </w:rPr>
              <w:t xml:space="preserve"> 32</w:t>
            </w:r>
          </w:p>
        </w:tc>
        <w:tc>
          <w:tcPr>
            <w:tcW w:w="1015" w:type="dxa"/>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30</w:t>
            </w:r>
          </w:p>
        </w:tc>
        <w:tc>
          <w:tcPr>
            <w:tcW w:w="1016" w:type="dxa"/>
            <w:tcBorders>
              <w:right w:val="single" w:sz="4" w:space="0" w:color="auto"/>
            </w:tcBorders>
            <w:vAlign w:val="center"/>
          </w:tcPr>
          <w:p w:rsidR="000312AC" w:rsidRPr="00EF22E4" w:rsidRDefault="001B3ED1" w:rsidP="00F23446">
            <w:pPr>
              <w:spacing w:after="0" w:line="360" w:lineRule="auto"/>
              <w:jc w:val="center"/>
              <w:rPr>
                <w:rFonts w:ascii="Times New Roman" w:hAnsi="Times New Roman"/>
                <w:sz w:val="20"/>
                <w:szCs w:val="20"/>
                <w:lang w:bidi="ar-IQ"/>
              </w:rPr>
            </w:pPr>
            <w:r>
              <w:rPr>
                <w:rFonts w:ascii="Times New Roman" w:hAnsi="Times New Roman"/>
                <w:sz w:val="20"/>
                <w:szCs w:val="20"/>
                <w:lang w:bidi="ar-IQ"/>
              </w:rPr>
              <w:t>2</w:t>
            </w:r>
          </w:p>
        </w:tc>
        <w:tc>
          <w:tcPr>
            <w:tcW w:w="1016" w:type="dxa"/>
            <w:tcBorders>
              <w:lef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12</w:t>
            </w:r>
          </w:p>
        </w:tc>
        <w:tc>
          <w:tcPr>
            <w:tcW w:w="1016" w:type="dxa"/>
            <w:tcBorders>
              <w:righ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20</w:t>
            </w:r>
          </w:p>
        </w:tc>
        <w:tc>
          <w:tcPr>
            <w:tcW w:w="1016" w:type="dxa"/>
            <w:tcBorders>
              <w:lef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6</w:t>
            </w:r>
          </w:p>
        </w:tc>
        <w:tc>
          <w:tcPr>
            <w:tcW w:w="1016" w:type="dxa"/>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26</w:t>
            </w:r>
          </w:p>
        </w:tc>
      </w:tr>
      <w:tr w:rsidR="000312AC" w:rsidRPr="001B07DE" w:rsidTr="00F23446">
        <w:trPr>
          <w:jc w:val="center"/>
        </w:trPr>
        <w:tc>
          <w:tcPr>
            <w:tcW w:w="1951" w:type="dxa"/>
            <w:gridSpan w:val="2"/>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Total  124</w:t>
            </w:r>
          </w:p>
        </w:tc>
        <w:tc>
          <w:tcPr>
            <w:tcW w:w="1015" w:type="dxa"/>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110</w:t>
            </w:r>
          </w:p>
        </w:tc>
        <w:tc>
          <w:tcPr>
            <w:tcW w:w="1016" w:type="dxa"/>
            <w:tcBorders>
              <w:righ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14</w:t>
            </w:r>
          </w:p>
        </w:tc>
        <w:tc>
          <w:tcPr>
            <w:tcW w:w="1016" w:type="dxa"/>
            <w:tcBorders>
              <w:lef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54</w:t>
            </w:r>
          </w:p>
        </w:tc>
        <w:tc>
          <w:tcPr>
            <w:tcW w:w="1016" w:type="dxa"/>
            <w:tcBorders>
              <w:righ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70</w:t>
            </w:r>
          </w:p>
        </w:tc>
        <w:tc>
          <w:tcPr>
            <w:tcW w:w="1016" w:type="dxa"/>
            <w:tcBorders>
              <w:lef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30</w:t>
            </w:r>
          </w:p>
        </w:tc>
        <w:tc>
          <w:tcPr>
            <w:tcW w:w="1016" w:type="dxa"/>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94</w:t>
            </w:r>
          </w:p>
        </w:tc>
      </w:tr>
    </w:tbl>
    <w:p w:rsidR="000312AC" w:rsidRDefault="000312AC" w:rsidP="000312AC">
      <w:pPr>
        <w:spacing w:line="360" w:lineRule="auto"/>
        <w:jc w:val="center"/>
        <w:rPr>
          <w:rFonts w:ascii="Times New Roman" w:hAnsi="Times New Roman"/>
          <w:b/>
          <w:bCs/>
          <w:sz w:val="20"/>
          <w:szCs w:val="20"/>
          <w:lang w:bidi="ar-IQ"/>
        </w:rPr>
      </w:pPr>
    </w:p>
    <w:p w:rsidR="000312AC" w:rsidRPr="00771EA3" w:rsidRDefault="008F5111" w:rsidP="00771EA3">
      <w:pPr>
        <w:spacing w:after="0" w:line="240" w:lineRule="auto"/>
        <w:jc w:val="both"/>
        <w:rPr>
          <w:rFonts w:ascii="Times New Roman" w:hAnsi="Times New Roman"/>
          <w:sz w:val="24"/>
          <w:szCs w:val="24"/>
          <w:lang w:bidi="ar-IQ"/>
        </w:rPr>
      </w:pPr>
      <w:r w:rsidRPr="00771EA3">
        <w:rPr>
          <w:rFonts w:ascii="Times New Roman" w:hAnsi="Times New Roman"/>
          <w:b/>
          <w:bCs/>
          <w:sz w:val="24"/>
          <w:szCs w:val="24"/>
          <w:u w:val="single"/>
          <w:lang w:bidi="ar-IQ"/>
        </w:rPr>
        <w:t xml:space="preserve">Table </w:t>
      </w:r>
      <w:r w:rsidR="000312AC" w:rsidRPr="00771EA3">
        <w:rPr>
          <w:rFonts w:ascii="Times New Roman" w:hAnsi="Times New Roman"/>
          <w:b/>
          <w:bCs/>
          <w:sz w:val="24"/>
          <w:szCs w:val="24"/>
          <w:u w:val="single"/>
          <w:lang w:bidi="ar-IQ"/>
        </w:rPr>
        <w:t>3</w:t>
      </w:r>
      <w:r w:rsidRPr="00771EA3">
        <w:rPr>
          <w:rFonts w:ascii="Times New Roman" w:hAnsi="Times New Roman"/>
          <w:b/>
          <w:bCs/>
          <w:sz w:val="24"/>
          <w:szCs w:val="24"/>
          <w:lang w:bidi="ar-IQ"/>
        </w:rPr>
        <w:t xml:space="preserve"> </w:t>
      </w:r>
      <w:r w:rsidR="000312AC" w:rsidRPr="00771EA3">
        <w:rPr>
          <w:rFonts w:ascii="Times New Roman" w:hAnsi="Times New Roman"/>
          <w:sz w:val="24"/>
          <w:szCs w:val="24"/>
          <w:lang w:bidi="ar-IQ"/>
        </w:rPr>
        <w:t>Culture results of 124 specimens of PTB patients compared with  RT-PCR, AFB smear and ICG:</w:t>
      </w:r>
    </w:p>
    <w:tbl>
      <w:tblPr>
        <w:tblW w:w="0" w:type="auto"/>
        <w:jc w:val="center"/>
        <w:tblBorders>
          <w:top w:val="single" w:sz="8" w:space="0" w:color="000000"/>
          <w:bottom w:val="single" w:sz="8" w:space="0" w:color="000000"/>
        </w:tblBorders>
        <w:tblLook w:val="06A0"/>
      </w:tblPr>
      <w:tblGrid>
        <w:gridCol w:w="1016"/>
        <w:gridCol w:w="935"/>
        <w:gridCol w:w="1015"/>
        <w:gridCol w:w="1016"/>
        <w:gridCol w:w="1016"/>
        <w:gridCol w:w="1016"/>
        <w:gridCol w:w="1016"/>
        <w:gridCol w:w="1016"/>
      </w:tblGrid>
      <w:tr w:rsidR="000312AC" w:rsidRPr="001B07DE" w:rsidTr="00F23446">
        <w:trPr>
          <w:trHeight w:val="315"/>
          <w:jc w:val="center"/>
        </w:trPr>
        <w:tc>
          <w:tcPr>
            <w:tcW w:w="1951" w:type="dxa"/>
            <w:gridSpan w:val="2"/>
            <w:vMerge w:val="restart"/>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Results</w:t>
            </w:r>
          </w:p>
        </w:tc>
        <w:tc>
          <w:tcPr>
            <w:tcW w:w="2031" w:type="dxa"/>
            <w:gridSpan w:val="2"/>
            <w:tcBorders>
              <w:righ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RT-PCR</w:t>
            </w:r>
          </w:p>
        </w:tc>
        <w:tc>
          <w:tcPr>
            <w:tcW w:w="2032" w:type="dxa"/>
            <w:gridSpan w:val="2"/>
            <w:tcBorders>
              <w:left w:val="single" w:sz="4" w:space="0" w:color="auto"/>
              <w:righ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AFB Smear</w:t>
            </w:r>
          </w:p>
        </w:tc>
        <w:tc>
          <w:tcPr>
            <w:tcW w:w="2032" w:type="dxa"/>
            <w:gridSpan w:val="2"/>
            <w:tcBorders>
              <w:lef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ICG</w:t>
            </w:r>
          </w:p>
        </w:tc>
      </w:tr>
      <w:tr w:rsidR="000312AC" w:rsidRPr="001B07DE" w:rsidTr="00F23446">
        <w:trPr>
          <w:trHeight w:val="165"/>
          <w:jc w:val="center"/>
        </w:trPr>
        <w:tc>
          <w:tcPr>
            <w:tcW w:w="1951" w:type="dxa"/>
            <w:gridSpan w:val="2"/>
            <w:vMerge/>
            <w:vAlign w:val="center"/>
          </w:tcPr>
          <w:p w:rsidR="000312AC" w:rsidRPr="00EF22E4" w:rsidRDefault="000312AC" w:rsidP="00F23446">
            <w:pPr>
              <w:spacing w:after="0" w:line="360" w:lineRule="auto"/>
              <w:jc w:val="center"/>
              <w:rPr>
                <w:rFonts w:ascii="Times New Roman" w:hAnsi="Times New Roman"/>
                <w:sz w:val="20"/>
                <w:szCs w:val="20"/>
                <w:lang w:bidi="ar-IQ"/>
              </w:rPr>
            </w:pPr>
          </w:p>
        </w:tc>
        <w:tc>
          <w:tcPr>
            <w:tcW w:w="1015" w:type="dxa"/>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w:t>
            </w:r>
            <w:proofErr w:type="spellStart"/>
            <w:r w:rsidRPr="00EF22E4">
              <w:rPr>
                <w:rFonts w:ascii="Times New Roman" w:hAnsi="Times New Roman"/>
                <w:sz w:val="20"/>
                <w:szCs w:val="20"/>
                <w:lang w:bidi="ar-IQ"/>
              </w:rPr>
              <w:t>ev</w:t>
            </w:r>
            <w:proofErr w:type="spellEnd"/>
          </w:p>
        </w:tc>
        <w:tc>
          <w:tcPr>
            <w:tcW w:w="1016" w:type="dxa"/>
            <w:tcBorders>
              <w:righ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w:t>
            </w:r>
            <w:proofErr w:type="spellStart"/>
            <w:r w:rsidRPr="00EF22E4">
              <w:rPr>
                <w:rFonts w:ascii="Times New Roman" w:hAnsi="Times New Roman"/>
                <w:sz w:val="20"/>
                <w:szCs w:val="20"/>
                <w:lang w:bidi="ar-IQ"/>
              </w:rPr>
              <w:t>ev</w:t>
            </w:r>
            <w:proofErr w:type="spellEnd"/>
          </w:p>
        </w:tc>
        <w:tc>
          <w:tcPr>
            <w:tcW w:w="1016" w:type="dxa"/>
            <w:tcBorders>
              <w:lef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w:t>
            </w:r>
            <w:proofErr w:type="spellStart"/>
            <w:r w:rsidRPr="00EF22E4">
              <w:rPr>
                <w:rFonts w:ascii="Times New Roman" w:hAnsi="Times New Roman"/>
                <w:sz w:val="20"/>
                <w:szCs w:val="20"/>
                <w:lang w:bidi="ar-IQ"/>
              </w:rPr>
              <w:t>ev</w:t>
            </w:r>
            <w:proofErr w:type="spellEnd"/>
          </w:p>
        </w:tc>
        <w:tc>
          <w:tcPr>
            <w:tcW w:w="1016" w:type="dxa"/>
            <w:tcBorders>
              <w:righ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w:t>
            </w:r>
            <w:proofErr w:type="spellStart"/>
            <w:r w:rsidRPr="00EF22E4">
              <w:rPr>
                <w:rFonts w:ascii="Times New Roman" w:hAnsi="Times New Roman"/>
                <w:sz w:val="20"/>
                <w:szCs w:val="20"/>
                <w:lang w:bidi="ar-IQ"/>
              </w:rPr>
              <w:t>ev</w:t>
            </w:r>
            <w:proofErr w:type="spellEnd"/>
          </w:p>
        </w:tc>
        <w:tc>
          <w:tcPr>
            <w:tcW w:w="1016" w:type="dxa"/>
            <w:tcBorders>
              <w:lef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w:t>
            </w:r>
            <w:proofErr w:type="spellStart"/>
            <w:r w:rsidRPr="00EF22E4">
              <w:rPr>
                <w:rFonts w:ascii="Times New Roman" w:hAnsi="Times New Roman"/>
                <w:sz w:val="20"/>
                <w:szCs w:val="20"/>
                <w:lang w:bidi="ar-IQ"/>
              </w:rPr>
              <w:t>ev</w:t>
            </w:r>
            <w:proofErr w:type="spellEnd"/>
          </w:p>
        </w:tc>
        <w:tc>
          <w:tcPr>
            <w:tcW w:w="1016" w:type="dxa"/>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w:t>
            </w:r>
            <w:proofErr w:type="spellStart"/>
            <w:r w:rsidRPr="00EF22E4">
              <w:rPr>
                <w:rFonts w:ascii="Times New Roman" w:hAnsi="Times New Roman"/>
                <w:sz w:val="20"/>
                <w:szCs w:val="20"/>
                <w:lang w:bidi="ar-IQ"/>
              </w:rPr>
              <w:t>ev</w:t>
            </w:r>
            <w:proofErr w:type="spellEnd"/>
          </w:p>
        </w:tc>
      </w:tr>
      <w:tr w:rsidR="000312AC" w:rsidRPr="001B07DE" w:rsidTr="00F23446">
        <w:trPr>
          <w:jc w:val="center"/>
        </w:trPr>
        <w:tc>
          <w:tcPr>
            <w:tcW w:w="1016" w:type="dxa"/>
            <w:vMerge w:val="restart"/>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Culture</w:t>
            </w:r>
          </w:p>
        </w:tc>
        <w:tc>
          <w:tcPr>
            <w:tcW w:w="935" w:type="dxa"/>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w:t>
            </w:r>
            <w:proofErr w:type="spellStart"/>
            <w:r w:rsidRPr="00EF22E4">
              <w:rPr>
                <w:rFonts w:ascii="Times New Roman" w:hAnsi="Times New Roman"/>
                <w:sz w:val="20"/>
                <w:szCs w:val="20"/>
                <w:lang w:bidi="ar-IQ"/>
              </w:rPr>
              <w:t>ev</w:t>
            </w:r>
            <w:proofErr w:type="spellEnd"/>
            <w:r w:rsidRPr="00EF22E4">
              <w:rPr>
                <w:rFonts w:ascii="Times New Roman" w:hAnsi="Times New Roman"/>
                <w:sz w:val="20"/>
                <w:szCs w:val="20"/>
                <w:lang w:bidi="ar-IQ"/>
              </w:rPr>
              <w:t xml:space="preserve"> 54</w:t>
            </w:r>
          </w:p>
        </w:tc>
        <w:tc>
          <w:tcPr>
            <w:tcW w:w="1015" w:type="dxa"/>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48</w:t>
            </w:r>
          </w:p>
        </w:tc>
        <w:tc>
          <w:tcPr>
            <w:tcW w:w="1016" w:type="dxa"/>
            <w:tcBorders>
              <w:righ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6</w:t>
            </w:r>
          </w:p>
        </w:tc>
        <w:tc>
          <w:tcPr>
            <w:tcW w:w="1016" w:type="dxa"/>
            <w:tcBorders>
              <w:lef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42</w:t>
            </w:r>
          </w:p>
        </w:tc>
        <w:tc>
          <w:tcPr>
            <w:tcW w:w="1016" w:type="dxa"/>
            <w:tcBorders>
              <w:righ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12</w:t>
            </w:r>
          </w:p>
        </w:tc>
        <w:tc>
          <w:tcPr>
            <w:tcW w:w="1016" w:type="dxa"/>
            <w:tcBorders>
              <w:lef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22</w:t>
            </w:r>
          </w:p>
        </w:tc>
        <w:tc>
          <w:tcPr>
            <w:tcW w:w="1016" w:type="dxa"/>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32</w:t>
            </w:r>
          </w:p>
        </w:tc>
      </w:tr>
      <w:tr w:rsidR="000312AC" w:rsidRPr="001B07DE" w:rsidTr="00F23446">
        <w:trPr>
          <w:jc w:val="center"/>
        </w:trPr>
        <w:tc>
          <w:tcPr>
            <w:tcW w:w="1016" w:type="dxa"/>
            <w:vMerge/>
            <w:vAlign w:val="center"/>
          </w:tcPr>
          <w:p w:rsidR="000312AC" w:rsidRPr="00EF22E4" w:rsidRDefault="000312AC" w:rsidP="00F23446">
            <w:pPr>
              <w:spacing w:after="0" w:line="360" w:lineRule="auto"/>
              <w:jc w:val="center"/>
              <w:rPr>
                <w:rFonts w:ascii="Times New Roman" w:hAnsi="Times New Roman"/>
                <w:sz w:val="20"/>
                <w:szCs w:val="20"/>
                <w:lang w:bidi="ar-IQ"/>
              </w:rPr>
            </w:pPr>
          </w:p>
        </w:tc>
        <w:tc>
          <w:tcPr>
            <w:tcW w:w="935" w:type="dxa"/>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w:t>
            </w:r>
            <w:proofErr w:type="spellStart"/>
            <w:r w:rsidRPr="00EF22E4">
              <w:rPr>
                <w:rFonts w:ascii="Times New Roman" w:hAnsi="Times New Roman"/>
                <w:sz w:val="20"/>
                <w:szCs w:val="20"/>
                <w:lang w:bidi="ar-IQ"/>
              </w:rPr>
              <w:t>ev</w:t>
            </w:r>
            <w:proofErr w:type="spellEnd"/>
            <w:r w:rsidRPr="00EF22E4">
              <w:rPr>
                <w:rFonts w:ascii="Times New Roman" w:hAnsi="Times New Roman"/>
                <w:sz w:val="20"/>
                <w:szCs w:val="20"/>
                <w:lang w:bidi="ar-IQ"/>
              </w:rPr>
              <w:t xml:space="preserve"> 70</w:t>
            </w:r>
          </w:p>
        </w:tc>
        <w:tc>
          <w:tcPr>
            <w:tcW w:w="1015" w:type="dxa"/>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62</w:t>
            </w:r>
          </w:p>
        </w:tc>
        <w:tc>
          <w:tcPr>
            <w:tcW w:w="1016" w:type="dxa"/>
            <w:tcBorders>
              <w:righ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8</w:t>
            </w:r>
          </w:p>
        </w:tc>
        <w:tc>
          <w:tcPr>
            <w:tcW w:w="1016" w:type="dxa"/>
            <w:tcBorders>
              <w:lef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50</w:t>
            </w:r>
          </w:p>
        </w:tc>
        <w:tc>
          <w:tcPr>
            <w:tcW w:w="1016" w:type="dxa"/>
            <w:tcBorders>
              <w:righ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20</w:t>
            </w:r>
          </w:p>
        </w:tc>
        <w:tc>
          <w:tcPr>
            <w:tcW w:w="1016" w:type="dxa"/>
            <w:tcBorders>
              <w:lef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8</w:t>
            </w:r>
          </w:p>
        </w:tc>
        <w:tc>
          <w:tcPr>
            <w:tcW w:w="1016" w:type="dxa"/>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62</w:t>
            </w:r>
          </w:p>
        </w:tc>
      </w:tr>
      <w:tr w:rsidR="000312AC" w:rsidRPr="001B07DE" w:rsidTr="00F23446">
        <w:trPr>
          <w:jc w:val="center"/>
        </w:trPr>
        <w:tc>
          <w:tcPr>
            <w:tcW w:w="1951" w:type="dxa"/>
            <w:gridSpan w:val="2"/>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Total 124</w:t>
            </w:r>
          </w:p>
        </w:tc>
        <w:tc>
          <w:tcPr>
            <w:tcW w:w="1015" w:type="dxa"/>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110</w:t>
            </w:r>
          </w:p>
        </w:tc>
        <w:tc>
          <w:tcPr>
            <w:tcW w:w="1016" w:type="dxa"/>
            <w:tcBorders>
              <w:righ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14</w:t>
            </w:r>
          </w:p>
        </w:tc>
        <w:tc>
          <w:tcPr>
            <w:tcW w:w="1016" w:type="dxa"/>
            <w:tcBorders>
              <w:lef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92</w:t>
            </w:r>
          </w:p>
        </w:tc>
        <w:tc>
          <w:tcPr>
            <w:tcW w:w="1016" w:type="dxa"/>
            <w:tcBorders>
              <w:righ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32</w:t>
            </w:r>
          </w:p>
        </w:tc>
        <w:tc>
          <w:tcPr>
            <w:tcW w:w="1016" w:type="dxa"/>
            <w:tcBorders>
              <w:left w:val="single" w:sz="4" w:space="0" w:color="auto"/>
            </w:tcBorders>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30</w:t>
            </w:r>
          </w:p>
        </w:tc>
        <w:tc>
          <w:tcPr>
            <w:tcW w:w="1016" w:type="dxa"/>
            <w:vAlign w:val="center"/>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94</w:t>
            </w:r>
          </w:p>
        </w:tc>
      </w:tr>
    </w:tbl>
    <w:p w:rsidR="000312AC" w:rsidRPr="00771EA3" w:rsidRDefault="000312AC" w:rsidP="00771EA3">
      <w:pPr>
        <w:spacing w:after="0" w:line="240" w:lineRule="auto"/>
        <w:jc w:val="center"/>
        <w:rPr>
          <w:rFonts w:ascii="Times New Roman" w:hAnsi="Times New Roman"/>
          <w:b/>
          <w:bCs/>
          <w:sz w:val="24"/>
          <w:szCs w:val="24"/>
          <w:lang w:bidi="ar-IQ"/>
        </w:rPr>
      </w:pPr>
    </w:p>
    <w:p w:rsidR="000312AC" w:rsidRPr="00771EA3" w:rsidRDefault="008F5111" w:rsidP="00771EA3">
      <w:pPr>
        <w:spacing w:after="0" w:line="240" w:lineRule="auto"/>
        <w:jc w:val="both"/>
        <w:rPr>
          <w:rFonts w:ascii="Times New Roman" w:hAnsi="Times New Roman"/>
          <w:sz w:val="24"/>
          <w:szCs w:val="24"/>
          <w:lang w:bidi="ar-IQ"/>
        </w:rPr>
      </w:pPr>
      <w:r w:rsidRPr="00771EA3">
        <w:rPr>
          <w:rFonts w:ascii="Times New Roman" w:hAnsi="Times New Roman"/>
          <w:b/>
          <w:bCs/>
          <w:sz w:val="24"/>
          <w:szCs w:val="24"/>
          <w:u w:val="single"/>
          <w:lang w:bidi="ar-IQ"/>
        </w:rPr>
        <w:t xml:space="preserve">Table </w:t>
      </w:r>
      <w:r w:rsidR="000312AC" w:rsidRPr="00771EA3">
        <w:rPr>
          <w:rFonts w:ascii="Times New Roman" w:hAnsi="Times New Roman"/>
          <w:b/>
          <w:bCs/>
          <w:sz w:val="24"/>
          <w:szCs w:val="24"/>
          <w:u w:val="single"/>
          <w:lang w:bidi="ar-IQ"/>
        </w:rPr>
        <w:t>4</w:t>
      </w:r>
      <w:r w:rsidRPr="00771EA3">
        <w:rPr>
          <w:rFonts w:ascii="Times New Roman" w:hAnsi="Times New Roman"/>
          <w:b/>
          <w:bCs/>
          <w:sz w:val="24"/>
          <w:szCs w:val="24"/>
          <w:lang w:bidi="ar-IQ"/>
        </w:rPr>
        <w:t xml:space="preserve"> </w:t>
      </w:r>
      <w:r w:rsidR="000312AC" w:rsidRPr="00771EA3">
        <w:rPr>
          <w:rFonts w:ascii="Times New Roman" w:hAnsi="Times New Roman"/>
          <w:sz w:val="24"/>
          <w:szCs w:val="24"/>
          <w:lang w:bidi="ar-IQ"/>
        </w:rPr>
        <w:t>RT</w:t>
      </w:r>
      <w:r w:rsidR="000312AC" w:rsidRPr="00771EA3">
        <w:rPr>
          <w:rFonts w:ascii="Times New Roman" w:hAnsi="Times New Roman"/>
          <w:b/>
          <w:bCs/>
          <w:sz w:val="24"/>
          <w:szCs w:val="24"/>
          <w:lang w:bidi="ar-IQ"/>
        </w:rPr>
        <w:t xml:space="preserve">- </w:t>
      </w:r>
      <w:r w:rsidR="000312AC" w:rsidRPr="00771EA3">
        <w:rPr>
          <w:rFonts w:ascii="Times New Roman" w:hAnsi="Times New Roman"/>
          <w:sz w:val="24"/>
          <w:szCs w:val="24"/>
          <w:lang w:bidi="ar-IQ"/>
        </w:rPr>
        <w:t>PCR results of 124 specimens of PTB patients compared with  AFB smear, culture and ICG:</w:t>
      </w:r>
    </w:p>
    <w:tbl>
      <w:tblPr>
        <w:tblW w:w="0" w:type="auto"/>
        <w:jc w:val="center"/>
        <w:tblBorders>
          <w:top w:val="single" w:sz="8" w:space="0" w:color="000000"/>
          <w:bottom w:val="single" w:sz="8" w:space="0" w:color="000000"/>
        </w:tblBorders>
        <w:tblLook w:val="06A0"/>
      </w:tblPr>
      <w:tblGrid>
        <w:gridCol w:w="817"/>
        <w:gridCol w:w="1134"/>
        <w:gridCol w:w="1015"/>
        <w:gridCol w:w="1016"/>
        <w:gridCol w:w="1016"/>
        <w:gridCol w:w="1016"/>
        <w:gridCol w:w="1016"/>
        <w:gridCol w:w="1016"/>
      </w:tblGrid>
      <w:tr w:rsidR="000312AC" w:rsidRPr="001B07DE" w:rsidTr="00F23446">
        <w:trPr>
          <w:trHeight w:val="315"/>
          <w:jc w:val="center"/>
        </w:trPr>
        <w:tc>
          <w:tcPr>
            <w:tcW w:w="1951" w:type="dxa"/>
            <w:gridSpan w:val="2"/>
            <w:vMerge w:val="restart"/>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Results</w:t>
            </w:r>
          </w:p>
        </w:tc>
        <w:tc>
          <w:tcPr>
            <w:tcW w:w="2031" w:type="dxa"/>
            <w:gridSpan w:val="2"/>
            <w:tcBorders>
              <w:right w:val="single" w:sz="4" w:space="0" w:color="auto"/>
            </w:tcBorders>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AFB Smear</w:t>
            </w:r>
          </w:p>
        </w:tc>
        <w:tc>
          <w:tcPr>
            <w:tcW w:w="2032" w:type="dxa"/>
            <w:gridSpan w:val="2"/>
            <w:tcBorders>
              <w:left w:val="single" w:sz="4" w:space="0" w:color="auto"/>
              <w:right w:val="single" w:sz="4" w:space="0" w:color="auto"/>
            </w:tcBorders>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Culture</w:t>
            </w:r>
          </w:p>
        </w:tc>
        <w:tc>
          <w:tcPr>
            <w:tcW w:w="2032" w:type="dxa"/>
            <w:gridSpan w:val="2"/>
            <w:tcBorders>
              <w:left w:val="single" w:sz="4" w:space="0" w:color="auto"/>
            </w:tcBorders>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ICG</w:t>
            </w:r>
          </w:p>
        </w:tc>
      </w:tr>
      <w:tr w:rsidR="000312AC" w:rsidRPr="001B07DE" w:rsidTr="00F23446">
        <w:trPr>
          <w:trHeight w:val="165"/>
          <w:jc w:val="center"/>
        </w:trPr>
        <w:tc>
          <w:tcPr>
            <w:tcW w:w="1951" w:type="dxa"/>
            <w:gridSpan w:val="2"/>
            <w:vMerge/>
          </w:tcPr>
          <w:p w:rsidR="000312AC" w:rsidRPr="00EF22E4" w:rsidRDefault="000312AC" w:rsidP="00F23446">
            <w:pPr>
              <w:spacing w:after="0" w:line="360" w:lineRule="auto"/>
              <w:jc w:val="center"/>
              <w:rPr>
                <w:rFonts w:ascii="Times New Roman" w:hAnsi="Times New Roman"/>
                <w:sz w:val="20"/>
                <w:szCs w:val="20"/>
                <w:lang w:bidi="ar-IQ"/>
              </w:rPr>
            </w:pPr>
          </w:p>
        </w:tc>
        <w:tc>
          <w:tcPr>
            <w:tcW w:w="1015" w:type="dxa"/>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w:t>
            </w:r>
            <w:proofErr w:type="spellStart"/>
            <w:r w:rsidRPr="00EF22E4">
              <w:rPr>
                <w:rFonts w:ascii="Times New Roman" w:hAnsi="Times New Roman"/>
                <w:sz w:val="20"/>
                <w:szCs w:val="20"/>
                <w:lang w:bidi="ar-IQ"/>
              </w:rPr>
              <w:t>ev</w:t>
            </w:r>
            <w:proofErr w:type="spellEnd"/>
          </w:p>
        </w:tc>
        <w:tc>
          <w:tcPr>
            <w:tcW w:w="1016" w:type="dxa"/>
            <w:tcBorders>
              <w:right w:val="single" w:sz="4" w:space="0" w:color="auto"/>
            </w:tcBorders>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w:t>
            </w:r>
            <w:proofErr w:type="spellStart"/>
            <w:r w:rsidRPr="00EF22E4">
              <w:rPr>
                <w:rFonts w:ascii="Times New Roman" w:hAnsi="Times New Roman"/>
                <w:sz w:val="20"/>
                <w:szCs w:val="20"/>
                <w:lang w:bidi="ar-IQ"/>
              </w:rPr>
              <w:t>ev</w:t>
            </w:r>
            <w:proofErr w:type="spellEnd"/>
          </w:p>
        </w:tc>
        <w:tc>
          <w:tcPr>
            <w:tcW w:w="1016" w:type="dxa"/>
            <w:tcBorders>
              <w:left w:val="single" w:sz="4" w:space="0" w:color="auto"/>
            </w:tcBorders>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w:t>
            </w:r>
            <w:proofErr w:type="spellStart"/>
            <w:r w:rsidRPr="00EF22E4">
              <w:rPr>
                <w:rFonts w:ascii="Times New Roman" w:hAnsi="Times New Roman"/>
                <w:sz w:val="20"/>
                <w:szCs w:val="20"/>
                <w:lang w:bidi="ar-IQ"/>
              </w:rPr>
              <w:t>ev</w:t>
            </w:r>
            <w:proofErr w:type="spellEnd"/>
          </w:p>
        </w:tc>
        <w:tc>
          <w:tcPr>
            <w:tcW w:w="1016" w:type="dxa"/>
            <w:tcBorders>
              <w:right w:val="single" w:sz="4" w:space="0" w:color="auto"/>
            </w:tcBorders>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w:t>
            </w:r>
            <w:proofErr w:type="spellStart"/>
            <w:r w:rsidRPr="00EF22E4">
              <w:rPr>
                <w:rFonts w:ascii="Times New Roman" w:hAnsi="Times New Roman"/>
                <w:sz w:val="20"/>
                <w:szCs w:val="20"/>
                <w:lang w:bidi="ar-IQ"/>
              </w:rPr>
              <w:t>ev</w:t>
            </w:r>
            <w:proofErr w:type="spellEnd"/>
          </w:p>
        </w:tc>
        <w:tc>
          <w:tcPr>
            <w:tcW w:w="1016" w:type="dxa"/>
            <w:tcBorders>
              <w:left w:val="single" w:sz="4" w:space="0" w:color="auto"/>
            </w:tcBorders>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w:t>
            </w:r>
            <w:proofErr w:type="spellStart"/>
            <w:r w:rsidRPr="00EF22E4">
              <w:rPr>
                <w:rFonts w:ascii="Times New Roman" w:hAnsi="Times New Roman"/>
                <w:sz w:val="20"/>
                <w:szCs w:val="20"/>
                <w:lang w:bidi="ar-IQ"/>
              </w:rPr>
              <w:t>ev</w:t>
            </w:r>
            <w:proofErr w:type="spellEnd"/>
          </w:p>
        </w:tc>
        <w:tc>
          <w:tcPr>
            <w:tcW w:w="1016" w:type="dxa"/>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w:t>
            </w:r>
            <w:proofErr w:type="spellStart"/>
            <w:r w:rsidRPr="00EF22E4">
              <w:rPr>
                <w:rFonts w:ascii="Times New Roman" w:hAnsi="Times New Roman"/>
                <w:sz w:val="20"/>
                <w:szCs w:val="20"/>
                <w:lang w:bidi="ar-IQ"/>
              </w:rPr>
              <w:t>ev</w:t>
            </w:r>
            <w:proofErr w:type="spellEnd"/>
          </w:p>
        </w:tc>
      </w:tr>
      <w:tr w:rsidR="000312AC" w:rsidRPr="001B07DE" w:rsidTr="00F23446">
        <w:trPr>
          <w:jc w:val="center"/>
        </w:trPr>
        <w:tc>
          <w:tcPr>
            <w:tcW w:w="817" w:type="dxa"/>
            <w:vMerge w:val="restart"/>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RT-PCR</w:t>
            </w:r>
          </w:p>
        </w:tc>
        <w:tc>
          <w:tcPr>
            <w:tcW w:w="1134" w:type="dxa"/>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w:t>
            </w:r>
            <w:proofErr w:type="spellStart"/>
            <w:r w:rsidRPr="00EF22E4">
              <w:rPr>
                <w:rFonts w:ascii="Times New Roman" w:hAnsi="Times New Roman"/>
                <w:sz w:val="20"/>
                <w:szCs w:val="20"/>
                <w:lang w:bidi="ar-IQ"/>
              </w:rPr>
              <w:t>ev</w:t>
            </w:r>
            <w:proofErr w:type="spellEnd"/>
            <w:r w:rsidRPr="00EF22E4">
              <w:rPr>
                <w:rFonts w:ascii="Times New Roman" w:hAnsi="Times New Roman"/>
                <w:sz w:val="20"/>
                <w:szCs w:val="20"/>
                <w:lang w:bidi="ar-IQ"/>
              </w:rPr>
              <w:t xml:space="preserve"> 110</w:t>
            </w:r>
          </w:p>
        </w:tc>
        <w:tc>
          <w:tcPr>
            <w:tcW w:w="1015" w:type="dxa"/>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80</w:t>
            </w:r>
          </w:p>
        </w:tc>
        <w:tc>
          <w:tcPr>
            <w:tcW w:w="1016" w:type="dxa"/>
            <w:tcBorders>
              <w:right w:val="single" w:sz="4" w:space="0" w:color="auto"/>
            </w:tcBorders>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30</w:t>
            </w:r>
          </w:p>
        </w:tc>
        <w:tc>
          <w:tcPr>
            <w:tcW w:w="1016" w:type="dxa"/>
            <w:tcBorders>
              <w:left w:val="single" w:sz="4" w:space="0" w:color="auto"/>
            </w:tcBorders>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48</w:t>
            </w:r>
          </w:p>
        </w:tc>
        <w:tc>
          <w:tcPr>
            <w:tcW w:w="1016" w:type="dxa"/>
            <w:tcBorders>
              <w:right w:val="single" w:sz="4" w:space="0" w:color="auto"/>
            </w:tcBorders>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62</w:t>
            </w:r>
          </w:p>
        </w:tc>
        <w:tc>
          <w:tcPr>
            <w:tcW w:w="1016" w:type="dxa"/>
            <w:tcBorders>
              <w:left w:val="single" w:sz="4" w:space="0" w:color="auto"/>
            </w:tcBorders>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24</w:t>
            </w:r>
          </w:p>
        </w:tc>
        <w:tc>
          <w:tcPr>
            <w:tcW w:w="1016" w:type="dxa"/>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86</w:t>
            </w:r>
          </w:p>
        </w:tc>
      </w:tr>
      <w:tr w:rsidR="000312AC" w:rsidRPr="001B07DE" w:rsidTr="00F23446">
        <w:trPr>
          <w:jc w:val="center"/>
        </w:trPr>
        <w:tc>
          <w:tcPr>
            <w:tcW w:w="817" w:type="dxa"/>
            <w:vMerge/>
          </w:tcPr>
          <w:p w:rsidR="000312AC" w:rsidRPr="00EF22E4" w:rsidRDefault="000312AC" w:rsidP="00F23446">
            <w:pPr>
              <w:spacing w:after="0" w:line="360" w:lineRule="auto"/>
              <w:jc w:val="center"/>
              <w:rPr>
                <w:rFonts w:ascii="Times New Roman" w:hAnsi="Times New Roman"/>
                <w:sz w:val="20"/>
                <w:szCs w:val="20"/>
                <w:lang w:bidi="ar-IQ"/>
              </w:rPr>
            </w:pPr>
          </w:p>
        </w:tc>
        <w:tc>
          <w:tcPr>
            <w:tcW w:w="1134" w:type="dxa"/>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w:t>
            </w:r>
            <w:proofErr w:type="spellStart"/>
            <w:r w:rsidRPr="00EF22E4">
              <w:rPr>
                <w:rFonts w:ascii="Times New Roman" w:hAnsi="Times New Roman"/>
                <w:sz w:val="20"/>
                <w:szCs w:val="20"/>
                <w:lang w:bidi="ar-IQ"/>
              </w:rPr>
              <w:t>ev</w:t>
            </w:r>
            <w:proofErr w:type="spellEnd"/>
            <w:r w:rsidRPr="00EF22E4">
              <w:rPr>
                <w:rFonts w:ascii="Times New Roman" w:hAnsi="Times New Roman"/>
                <w:sz w:val="20"/>
                <w:szCs w:val="20"/>
                <w:lang w:bidi="ar-IQ"/>
              </w:rPr>
              <w:t xml:space="preserve"> 14</w:t>
            </w:r>
          </w:p>
        </w:tc>
        <w:tc>
          <w:tcPr>
            <w:tcW w:w="1015" w:type="dxa"/>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12</w:t>
            </w:r>
          </w:p>
        </w:tc>
        <w:tc>
          <w:tcPr>
            <w:tcW w:w="1016" w:type="dxa"/>
            <w:tcBorders>
              <w:right w:val="single" w:sz="4" w:space="0" w:color="auto"/>
            </w:tcBorders>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2</w:t>
            </w:r>
          </w:p>
        </w:tc>
        <w:tc>
          <w:tcPr>
            <w:tcW w:w="1016" w:type="dxa"/>
            <w:tcBorders>
              <w:left w:val="single" w:sz="4" w:space="0" w:color="auto"/>
            </w:tcBorders>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6</w:t>
            </w:r>
          </w:p>
        </w:tc>
        <w:tc>
          <w:tcPr>
            <w:tcW w:w="1016" w:type="dxa"/>
            <w:tcBorders>
              <w:right w:val="single" w:sz="4" w:space="0" w:color="auto"/>
            </w:tcBorders>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8</w:t>
            </w:r>
          </w:p>
        </w:tc>
        <w:tc>
          <w:tcPr>
            <w:tcW w:w="1016" w:type="dxa"/>
            <w:tcBorders>
              <w:left w:val="single" w:sz="4" w:space="0" w:color="auto"/>
            </w:tcBorders>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6</w:t>
            </w:r>
          </w:p>
        </w:tc>
        <w:tc>
          <w:tcPr>
            <w:tcW w:w="1016" w:type="dxa"/>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8</w:t>
            </w:r>
          </w:p>
        </w:tc>
      </w:tr>
      <w:tr w:rsidR="000312AC" w:rsidRPr="001B07DE" w:rsidTr="00F23446">
        <w:trPr>
          <w:jc w:val="center"/>
        </w:trPr>
        <w:tc>
          <w:tcPr>
            <w:tcW w:w="1951" w:type="dxa"/>
            <w:gridSpan w:val="2"/>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Total 124</w:t>
            </w:r>
          </w:p>
        </w:tc>
        <w:tc>
          <w:tcPr>
            <w:tcW w:w="1015" w:type="dxa"/>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92</w:t>
            </w:r>
          </w:p>
        </w:tc>
        <w:tc>
          <w:tcPr>
            <w:tcW w:w="1016" w:type="dxa"/>
            <w:tcBorders>
              <w:right w:val="single" w:sz="4" w:space="0" w:color="auto"/>
            </w:tcBorders>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32</w:t>
            </w:r>
          </w:p>
        </w:tc>
        <w:tc>
          <w:tcPr>
            <w:tcW w:w="1016" w:type="dxa"/>
            <w:tcBorders>
              <w:left w:val="single" w:sz="4" w:space="0" w:color="auto"/>
            </w:tcBorders>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54</w:t>
            </w:r>
          </w:p>
        </w:tc>
        <w:tc>
          <w:tcPr>
            <w:tcW w:w="1016" w:type="dxa"/>
            <w:tcBorders>
              <w:right w:val="single" w:sz="4" w:space="0" w:color="auto"/>
            </w:tcBorders>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70</w:t>
            </w:r>
          </w:p>
        </w:tc>
        <w:tc>
          <w:tcPr>
            <w:tcW w:w="1016" w:type="dxa"/>
            <w:tcBorders>
              <w:left w:val="single" w:sz="4" w:space="0" w:color="auto"/>
            </w:tcBorders>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30</w:t>
            </w:r>
          </w:p>
        </w:tc>
        <w:tc>
          <w:tcPr>
            <w:tcW w:w="1016" w:type="dxa"/>
          </w:tcPr>
          <w:p w:rsidR="000312AC" w:rsidRPr="00EF22E4" w:rsidRDefault="000312AC" w:rsidP="00F23446">
            <w:pPr>
              <w:spacing w:after="0" w:line="360" w:lineRule="auto"/>
              <w:jc w:val="center"/>
              <w:rPr>
                <w:rFonts w:ascii="Times New Roman" w:hAnsi="Times New Roman"/>
                <w:sz w:val="20"/>
                <w:szCs w:val="20"/>
                <w:lang w:bidi="ar-IQ"/>
              </w:rPr>
            </w:pPr>
            <w:r w:rsidRPr="00EF22E4">
              <w:rPr>
                <w:rFonts w:ascii="Times New Roman" w:hAnsi="Times New Roman"/>
                <w:sz w:val="20"/>
                <w:szCs w:val="20"/>
                <w:lang w:bidi="ar-IQ"/>
              </w:rPr>
              <w:t>94</w:t>
            </w:r>
          </w:p>
        </w:tc>
      </w:tr>
    </w:tbl>
    <w:p w:rsidR="000312AC" w:rsidRPr="00771EA3" w:rsidRDefault="008F5111" w:rsidP="00771EA3">
      <w:pPr>
        <w:spacing w:after="0" w:line="240" w:lineRule="auto"/>
        <w:jc w:val="both"/>
        <w:rPr>
          <w:rFonts w:ascii="Times New Roman" w:hAnsi="Times New Roman"/>
          <w:sz w:val="24"/>
          <w:szCs w:val="24"/>
          <w:lang w:bidi="ar-IQ"/>
        </w:rPr>
      </w:pPr>
      <w:bookmarkStart w:id="0" w:name="_GoBack"/>
      <w:bookmarkEnd w:id="0"/>
      <w:r w:rsidRPr="00771EA3">
        <w:rPr>
          <w:rFonts w:ascii="Times New Roman" w:hAnsi="Times New Roman"/>
          <w:b/>
          <w:bCs/>
          <w:sz w:val="24"/>
          <w:szCs w:val="24"/>
          <w:u w:val="single"/>
          <w:lang w:bidi="ar-IQ"/>
        </w:rPr>
        <w:lastRenderedPageBreak/>
        <w:t xml:space="preserve">Table </w:t>
      </w:r>
      <w:r w:rsidR="000312AC" w:rsidRPr="00771EA3">
        <w:rPr>
          <w:rFonts w:ascii="Times New Roman" w:hAnsi="Times New Roman"/>
          <w:b/>
          <w:bCs/>
          <w:sz w:val="24"/>
          <w:szCs w:val="24"/>
          <w:u w:val="single"/>
          <w:lang w:bidi="ar-IQ"/>
        </w:rPr>
        <w:t>5</w:t>
      </w:r>
      <w:r w:rsidR="000312AC" w:rsidRPr="00771EA3">
        <w:rPr>
          <w:rFonts w:ascii="Times New Roman" w:hAnsi="Times New Roman"/>
          <w:b/>
          <w:bCs/>
          <w:sz w:val="24"/>
          <w:szCs w:val="24"/>
          <w:lang w:bidi="ar-IQ"/>
        </w:rPr>
        <w:t xml:space="preserve"> </w:t>
      </w:r>
      <w:r w:rsidR="000312AC" w:rsidRPr="00771EA3">
        <w:rPr>
          <w:rFonts w:ascii="Times New Roman" w:hAnsi="Times New Roman"/>
          <w:sz w:val="24"/>
          <w:szCs w:val="24"/>
          <w:lang w:bidi="ar-IQ"/>
        </w:rPr>
        <w:t>ICG results of 124 specimens of PTB patients compared with  AFB smear, culture and RT</w:t>
      </w:r>
      <w:r w:rsidR="000312AC" w:rsidRPr="00771EA3">
        <w:rPr>
          <w:rFonts w:ascii="Times New Roman" w:hAnsi="Times New Roman"/>
          <w:b/>
          <w:bCs/>
          <w:sz w:val="24"/>
          <w:szCs w:val="24"/>
          <w:lang w:bidi="ar-IQ"/>
        </w:rPr>
        <w:t xml:space="preserve">- </w:t>
      </w:r>
      <w:r w:rsidR="000312AC" w:rsidRPr="00771EA3">
        <w:rPr>
          <w:rFonts w:ascii="Times New Roman" w:hAnsi="Times New Roman"/>
          <w:sz w:val="24"/>
          <w:szCs w:val="24"/>
          <w:lang w:bidi="ar-IQ"/>
        </w:rPr>
        <w:t>PCR:</w:t>
      </w:r>
    </w:p>
    <w:tbl>
      <w:tblPr>
        <w:tblW w:w="0" w:type="auto"/>
        <w:jc w:val="center"/>
        <w:tblBorders>
          <w:top w:val="single" w:sz="8" w:space="0" w:color="000000"/>
          <w:bottom w:val="single" w:sz="8" w:space="0" w:color="000000"/>
        </w:tblBorders>
        <w:tblLook w:val="06A0"/>
      </w:tblPr>
      <w:tblGrid>
        <w:gridCol w:w="817"/>
        <w:gridCol w:w="1134"/>
        <w:gridCol w:w="1015"/>
        <w:gridCol w:w="1016"/>
        <w:gridCol w:w="1016"/>
        <w:gridCol w:w="1016"/>
        <w:gridCol w:w="1016"/>
        <w:gridCol w:w="1016"/>
      </w:tblGrid>
      <w:tr w:rsidR="000312AC" w:rsidRPr="001B07DE" w:rsidTr="00F23446">
        <w:trPr>
          <w:trHeight w:val="315"/>
          <w:jc w:val="center"/>
        </w:trPr>
        <w:tc>
          <w:tcPr>
            <w:tcW w:w="1951" w:type="dxa"/>
            <w:gridSpan w:val="2"/>
            <w:vMerge w:val="restart"/>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Results</w:t>
            </w:r>
          </w:p>
        </w:tc>
        <w:tc>
          <w:tcPr>
            <w:tcW w:w="2031" w:type="dxa"/>
            <w:gridSpan w:val="2"/>
            <w:tcBorders>
              <w:right w:val="single" w:sz="4" w:space="0" w:color="auto"/>
            </w:tcBorders>
            <w:vAlign w:val="center"/>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RT-PCR</w:t>
            </w:r>
          </w:p>
        </w:tc>
        <w:tc>
          <w:tcPr>
            <w:tcW w:w="2032" w:type="dxa"/>
            <w:gridSpan w:val="2"/>
            <w:tcBorders>
              <w:left w:val="single" w:sz="4" w:space="0" w:color="auto"/>
              <w:right w:val="single" w:sz="4" w:space="0" w:color="auto"/>
            </w:tcBorders>
            <w:vAlign w:val="center"/>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AFB Smear</w:t>
            </w:r>
          </w:p>
        </w:tc>
        <w:tc>
          <w:tcPr>
            <w:tcW w:w="2032" w:type="dxa"/>
            <w:gridSpan w:val="2"/>
            <w:tcBorders>
              <w:left w:val="single" w:sz="4" w:space="0" w:color="auto"/>
            </w:tcBorders>
            <w:vAlign w:val="center"/>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Culture</w:t>
            </w:r>
          </w:p>
        </w:tc>
      </w:tr>
      <w:tr w:rsidR="000312AC" w:rsidRPr="001B07DE" w:rsidTr="00F23446">
        <w:trPr>
          <w:trHeight w:val="165"/>
          <w:jc w:val="center"/>
        </w:trPr>
        <w:tc>
          <w:tcPr>
            <w:tcW w:w="1951" w:type="dxa"/>
            <w:gridSpan w:val="2"/>
            <w:vMerge/>
          </w:tcPr>
          <w:p w:rsidR="000312AC" w:rsidRPr="00EF22E4" w:rsidRDefault="000312AC" w:rsidP="00F23446">
            <w:pPr>
              <w:spacing w:after="0"/>
              <w:jc w:val="center"/>
              <w:rPr>
                <w:rFonts w:ascii="Times New Roman" w:hAnsi="Times New Roman"/>
                <w:sz w:val="20"/>
                <w:szCs w:val="20"/>
                <w:lang w:bidi="ar-IQ"/>
              </w:rPr>
            </w:pPr>
          </w:p>
        </w:tc>
        <w:tc>
          <w:tcPr>
            <w:tcW w:w="1015"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w:t>
            </w:r>
            <w:proofErr w:type="spellStart"/>
            <w:r w:rsidRPr="00EF22E4">
              <w:rPr>
                <w:rFonts w:ascii="Times New Roman" w:hAnsi="Times New Roman"/>
                <w:sz w:val="20"/>
                <w:szCs w:val="20"/>
                <w:lang w:bidi="ar-IQ"/>
              </w:rPr>
              <w:t>ev</w:t>
            </w:r>
            <w:proofErr w:type="spellEnd"/>
          </w:p>
        </w:tc>
        <w:tc>
          <w:tcPr>
            <w:tcW w:w="1016" w:type="dxa"/>
            <w:tcBorders>
              <w:right w:val="single" w:sz="4" w:space="0" w:color="auto"/>
            </w:tcBorders>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w:t>
            </w:r>
            <w:proofErr w:type="spellStart"/>
            <w:r w:rsidRPr="00EF22E4">
              <w:rPr>
                <w:rFonts w:ascii="Times New Roman" w:hAnsi="Times New Roman"/>
                <w:sz w:val="20"/>
                <w:szCs w:val="20"/>
                <w:lang w:bidi="ar-IQ"/>
              </w:rPr>
              <w:t>ev</w:t>
            </w:r>
            <w:proofErr w:type="spellEnd"/>
          </w:p>
        </w:tc>
        <w:tc>
          <w:tcPr>
            <w:tcW w:w="1016" w:type="dxa"/>
            <w:tcBorders>
              <w:left w:val="single" w:sz="4" w:space="0" w:color="auto"/>
            </w:tcBorders>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w:t>
            </w:r>
            <w:proofErr w:type="spellStart"/>
            <w:r w:rsidRPr="00EF22E4">
              <w:rPr>
                <w:rFonts w:ascii="Times New Roman" w:hAnsi="Times New Roman"/>
                <w:sz w:val="20"/>
                <w:szCs w:val="20"/>
                <w:lang w:bidi="ar-IQ"/>
              </w:rPr>
              <w:t>ev</w:t>
            </w:r>
            <w:proofErr w:type="spellEnd"/>
          </w:p>
        </w:tc>
        <w:tc>
          <w:tcPr>
            <w:tcW w:w="1016" w:type="dxa"/>
            <w:tcBorders>
              <w:right w:val="single" w:sz="4" w:space="0" w:color="auto"/>
            </w:tcBorders>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w:t>
            </w:r>
            <w:proofErr w:type="spellStart"/>
            <w:r w:rsidRPr="00EF22E4">
              <w:rPr>
                <w:rFonts w:ascii="Times New Roman" w:hAnsi="Times New Roman"/>
                <w:sz w:val="20"/>
                <w:szCs w:val="20"/>
                <w:lang w:bidi="ar-IQ"/>
              </w:rPr>
              <w:t>ev</w:t>
            </w:r>
            <w:proofErr w:type="spellEnd"/>
          </w:p>
        </w:tc>
        <w:tc>
          <w:tcPr>
            <w:tcW w:w="1016" w:type="dxa"/>
            <w:tcBorders>
              <w:left w:val="single" w:sz="4" w:space="0" w:color="auto"/>
            </w:tcBorders>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w:t>
            </w:r>
            <w:proofErr w:type="spellStart"/>
            <w:r w:rsidRPr="00EF22E4">
              <w:rPr>
                <w:rFonts w:ascii="Times New Roman" w:hAnsi="Times New Roman"/>
                <w:sz w:val="20"/>
                <w:szCs w:val="20"/>
                <w:lang w:bidi="ar-IQ"/>
              </w:rPr>
              <w:t>ev</w:t>
            </w:r>
            <w:proofErr w:type="spellEnd"/>
          </w:p>
        </w:tc>
        <w:tc>
          <w:tcPr>
            <w:tcW w:w="1016"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w:t>
            </w:r>
            <w:proofErr w:type="spellStart"/>
            <w:r w:rsidRPr="00EF22E4">
              <w:rPr>
                <w:rFonts w:ascii="Times New Roman" w:hAnsi="Times New Roman"/>
                <w:sz w:val="20"/>
                <w:szCs w:val="20"/>
                <w:lang w:bidi="ar-IQ"/>
              </w:rPr>
              <w:t>ev</w:t>
            </w:r>
            <w:proofErr w:type="spellEnd"/>
          </w:p>
        </w:tc>
      </w:tr>
      <w:tr w:rsidR="000312AC" w:rsidRPr="001B07DE" w:rsidTr="00F23446">
        <w:trPr>
          <w:jc w:val="center"/>
        </w:trPr>
        <w:tc>
          <w:tcPr>
            <w:tcW w:w="817" w:type="dxa"/>
            <w:vMerge w:val="restart"/>
            <w:vAlign w:val="center"/>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ICG</w:t>
            </w:r>
          </w:p>
        </w:tc>
        <w:tc>
          <w:tcPr>
            <w:tcW w:w="1134"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w:t>
            </w:r>
            <w:proofErr w:type="spellStart"/>
            <w:r w:rsidRPr="00EF22E4">
              <w:rPr>
                <w:rFonts w:ascii="Times New Roman" w:hAnsi="Times New Roman"/>
                <w:sz w:val="20"/>
                <w:szCs w:val="20"/>
                <w:lang w:bidi="ar-IQ"/>
              </w:rPr>
              <w:t>ev</w:t>
            </w:r>
            <w:proofErr w:type="spellEnd"/>
            <w:r w:rsidRPr="00EF22E4">
              <w:rPr>
                <w:rFonts w:ascii="Times New Roman" w:hAnsi="Times New Roman"/>
                <w:sz w:val="20"/>
                <w:szCs w:val="20"/>
                <w:lang w:bidi="ar-IQ"/>
              </w:rPr>
              <w:t xml:space="preserve"> 30</w:t>
            </w:r>
          </w:p>
        </w:tc>
        <w:tc>
          <w:tcPr>
            <w:tcW w:w="1015"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24</w:t>
            </w:r>
          </w:p>
        </w:tc>
        <w:tc>
          <w:tcPr>
            <w:tcW w:w="1016" w:type="dxa"/>
            <w:tcBorders>
              <w:right w:val="single" w:sz="4" w:space="0" w:color="auto"/>
            </w:tcBorders>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6</w:t>
            </w:r>
          </w:p>
        </w:tc>
        <w:tc>
          <w:tcPr>
            <w:tcW w:w="1016" w:type="dxa"/>
            <w:tcBorders>
              <w:left w:val="single" w:sz="4" w:space="0" w:color="auto"/>
            </w:tcBorders>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24</w:t>
            </w:r>
          </w:p>
        </w:tc>
        <w:tc>
          <w:tcPr>
            <w:tcW w:w="1016" w:type="dxa"/>
            <w:tcBorders>
              <w:right w:val="single" w:sz="4" w:space="0" w:color="auto"/>
            </w:tcBorders>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6</w:t>
            </w:r>
          </w:p>
        </w:tc>
        <w:tc>
          <w:tcPr>
            <w:tcW w:w="1016" w:type="dxa"/>
            <w:tcBorders>
              <w:left w:val="single" w:sz="4" w:space="0" w:color="auto"/>
            </w:tcBorders>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11</w:t>
            </w:r>
          </w:p>
        </w:tc>
        <w:tc>
          <w:tcPr>
            <w:tcW w:w="1016"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19</w:t>
            </w:r>
          </w:p>
        </w:tc>
      </w:tr>
      <w:tr w:rsidR="000312AC" w:rsidRPr="001B07DE" w:rsidTr="00F23446">
        <w:trPr>
          <w:jc w:val="center"/>
        </w:trPr>
        <w:tc>
          <w:tcPr>
            <w:tcW w:w="817" w:type="dxa"/>
            <w:vMerge/>
          </w:tcPr>
          <w:p w:rsidR="000312AC" w:rsidRPr="00EF22E4" w:rsidRDefault="000312AC" w:rsidP="00F23446">
            <w:pPr>
              <w:spacing w:after="0"/>
              <w:jc w:val="center"/>
              <w:rPr>
                <w:rFonts w:ascii="Times New Roman" w:hAnsi="Times New Roman"/>
                <w:sz w:val="20"/>
                <w:szCs w:val="20"/>
                <w:lang w:bidi="ar-IQ"/>
              </w:rPr>
            </w:pPr>
          </w:p>
        </w:tc>
        <w:tc>
          <w:tcPr>
            <w:tcW w:w="1134"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w:t>
            </w:r>
            <w:proofErr w:type="spellStart"/>
            <w:r w:rsidRPr="00EF22E4">
              <w:rPr>
                <w:rFonts w:ascii="Times New Roman" w:hAnsi="Times New Roman"/>
                <w:sz w:val="20"/>
                <w:szCs w:val="20"/>
                <w:lang w:bidi="ar-IQ"/>
              </w:rPr>
              <w:t>ev</w:t>
            </w:r>
            <w:proofErr w:type="spellEnd"/>
            <w:r w:rsidRPr="00EF22E4">
              <w:rPr>
                <w:rFonts w:ascii="Times New Roman" w:hAnsi="Times New Roman"/>
                <w:sz w:val="20"/>
                <w:szCs w:val="20"/>
                <w:lang w:bidi="ar-IQ"/>
              </w:rPr>
              <w:t xml:space="preserve"> 94</w:t>
            </w:r>
          </w:p>
        </w:tc>
        <w:tc>
          <w:tcPr>
            <w:tcW w:w="1015"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86</w:t>
            </w:r>
          </w:p>
        </w:tc>
        <w:tc>
          <w:tcPr>
            <w:tcW w:w="1016" w:type="dxa"/>
            <w:tcBorders>
              <w:right w:val="single" w:sz="4" w:space="0" w:color="auto"/>
            </w:tcBorders>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8</w:t>
            </w:r>
          </w:p>
        </w:tc>
        <w:tc>
          <w:tcPr>
            <w:tcW w:w="1016" w:type="dxa"/>
            <w:tcBorders>
              <w:left w:val="single" w:sz="4" w:space="0" w:color="auto"/>
            </w:tcBorders>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68</w:t>
            </w:r>
          </w:p>
        </w:tc>
        <w:tc>
          <w:tcPr>
            <w:tcW w:w="1016" w:type="dxa"/>
            <w:tcBorders>
              <w:right w:val="single" w:sz="4" w:space="0" w:color="auto"/>
            </w:tcBorders>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26</w:t>
            </w:r>
          </w:p>
        </w:tc>
        <w:tc>
          <w:tcPr>
            <w:tcW w:w="1016" w:type="dxa"/>
            <w:tcBorders>
              <w:left w:val="single" w:sz="4" w:space="0" w:color="auto"/>
            </w:tcBorders>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43</w:t>
            </w:r>
          </w:p>
        </w:tc>
        <w:tc>
          <w:tcPr>
            <w:tcW w:w="1016"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51</w:t>
            </w:r>
          </w:p>
        </w:tc>
      </w:tr>
      <w:tr w:rsidR="000312AC" w:rsidRPr="001B07DE" w:rsidTr="00F23446">
        <w:trPr>
          <w:jc w:val="center"/>
        </w:trPr>
        <w:tc>
          <w:tcPr>
            <w:tcW w:w="1951" w:type="dxa"/>
            <w:gridSpan w:val="2"/>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Total 124</w:t>
            </w:r>
          </w:p>
        </w:tc>
        <w:tc>
          <w:tcPr>
            <w:tcW w:w="1015" w:type="dxa"/>
            <w:vAlign w:val="center"/>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110</w:t>
            </w:r>
          </w:p>
        </w:tc>
        <w:tc>
          <w:tcPr>
            <w:tcW w:w="1016" w:type="dxa"/>
            <w:tcBorders>
              <w:right w:val="single" w:sz="4" w:space="0" w:color="auto"/>
            </w:tcBorders>
            <w:vAlign w:val="center"/>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14</w:t>
            </w:r>
          </w:p>
        </w:tc>
        <w:tc>
          <w:tcPr>
            <w:tcW w:w="1016" w:type="dxa"/>
            <w:tcBorders>
              <w:left w:val="single" w:sz="4" w:space="0" w:color="auto"/>
            </w:tcBorders>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92</w:t>
            </w:r>
          </w:p>
        </w:tc>
        <w:tc>
          <w:tcPr>
            <w:tcW w:w="1016" w:type="dxa"/>
            <w:tcBorders>
              <w:right w:val="single" w:sz="4" w:space="0" w:color="auto"/>
            </w:tcBorders>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32</w:t>
            </w:r>
          </w:p>
        </w:tc>
        <w:tc>
          <w:tcPr>
            <w:tcW w:w="1016" w:type="dxa"/>
            <w:tcBorders>
              <w:left w:val="single" w:sz="4" w:space="0" w:color="auto"/>
            </w:tcBorders>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54</w:t>
            </w:r>
          </w:p>
        </w:tc>
        <w:tc>
          <w:tcPr>
            <w:tcW w:w="1016"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70</w:t>
            </w:r>
          </w:p>
        </w:tc>
      </w:tr>
    </w:tbl>
    <w:p w:rsidR="000312AC" w:rsidRPr="001B07DE" w:rsidRDefault="000312AC" w:rsidP="000312AC">
      <w:pPr>
        <w:spacing w:after="0" w:line="360" w:lineRule="auto"/>
        <w:jc w:val="both"/>
        <w:rPr>
          <w:rFonts w:ascii="Times New Roman" w:hAnsi="Times New Roman"/>
          <w:b/>
          <w:bCs/>
          <w:sz w:val="20"/>
          <w:szCs w:val="20"/>
          <w:lang w:bidi="ar-IQ"/>
        </w:rPr>
      </w:pPr>
    </w:p>
    <w:p w:rsidR="000312AC" w:rsidRPr="00771EA3" w:rsidRDefault="008F5111" w:rsidP="00861683">
      <w:pPr>
        <w:spacing w:after="0" w:line="240" w:lineRule="auto"/>
        <w:jc w:val="both"/>
        <w:rPr>
          <w:rFonts w:ascii="Times New Roman" w:hAnsi="Times New Roman"/>
          <w:sz w:val="24"/>
          <w:szCs w:val="24"/>
          <w:lang w:bidi="ar-IQ"/>
        </w:rPr>
      </w:pPr>
      <w:r w:rsidRPr="00771EA3">
        <w:rPr>
          <w:rFonts w:ascii="Times New Roman" w:hAnsi="Times New Roman"/>
          <w:b/>
          <w:bCs/>
          <w:sz w:val="24"/>
          <w:szCs w:val="24"/>
          <w:u w:val="single"/>
          <w:lang w:bidi="ar-IQ"/>
        </w:rPr>
        <w:t xml:space="preserve">Table </w:t>
      </w:r>
      <w:r w:rsidR="000312AC" w:rsidRPr="00771EA3">
        <w:rPr>
          <w:rFonts w:ascii="Times New Roman" w:hAnsi="Times New Roman"/>
          <w:b/>
          <w:bCs/>
          <w:sz w:val="24"/>
          <w:szCs w:val="24"/>
          <w:u w:val="single"/>
          <w:lang w:bidi="ar-IQ"/>
        </w:rPr>
        <w:t>6</w:t>
      </w:r>
      <w:r w:rsidR="000312AC" w:rsidRPr="00771EA3">
        <w:rPr>
          <w:rFonts w:ascii="Times New Roman" w:hAnsi="Times New Roman"/>
          <w:b/>
          <w:bCs/>
          <w:sz w:val="24"/>
          <w:szCs w:val="24"/>
          <w:lang w:bidi="ar-IQ"/>
        </w:rPr>
        <w:t xml:space="preserve"> </w:t>
      </w:r>
      <w:r w:rsidR="000312AC" w:rsidRPr="00771EA3">
        <w:rPr>
          <w:rFonts w:ascii="Times New Roman" w:hAnsi="Times New Roman"/>
          <w:sz w:val="24"/>
          <w:szCs w:val="24"/>
          <w:lang w:bidi="ar-IQ"/>
        </w:rPr>
        <w:t>Sensitivity, specificity and accuracy of AFB smear, culture, RT-PCR and serology tests analyzed in 124 PTB patients and 102 control subjects:</w:t>
      </w:r>
    </w:p>
    <w:tbl>
      <w:tblPr>
        <w:tblW w:w="9019" w:type="dxa"/>
        <w:jc w:val="center"/>
        <w:tblInd w:w="-176" w:type="dxa"/>
        <w:tblBorders>
          <w:top w:val="single" w:sz="8" w:space="0" w:color="000000"/>
          <w:bottom w:val="single" w:sz="8" w:space="0" w:color="000000"/>
        </w:tblBorders>
        <w:tblLook w:val="06A0"/>
      </w:tblPr>
      <w:tblGrid>
        <w:gridCol w:w="1116"/>
        <w:gridCol w:w="1003"/>
        <w:gridCol w:w="1070"/>
        <w:gridCol w:w="1070"/>
        <w:gridCol w:w="1003"/>
        <w:gridCol w:w="1283"/>
        <w:gridCol w:w="1283"/>
        <w:gridCol w:w="1191"/>
      </w:tblGrid>
      <w:tr w:rsidR="000312AC" w:rsidRPr="001B07DE" w:rsidTr="00F23446">
        <w:trPr>
          <w:trHeight w:val="553"/>
          <w:jc w:val="center"/>
        </w:trPr>
        <w:tc>
          <w:tcPr>
            <w:tcW w:w="1116" w:type="dxa"/>
            <w:vMerge w:val="restart"/>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Test</w:t>
            </w:r>
          </w:p>
        </w:tc>
        <w:tc>
          <w:tcPr>
            <w:tcW w:w="4146" w:type="dxa"/>
            <w:gridSpan w:val="4"/>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 xml:space="preserve">No. of subjects </w:t>
            </w:r>
          </w:p>
        </w:tc>
        <w:tc>
          <w:tcPr>
            <w:tcW w:w="1283" w:type="dxa"/>
            <w:vMerge w:val="restart"/>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Sensitivity</w:t>
            </w:r>
          </w:p>
        </w:tc>
        <w:tc>
          <w:tcPr>
            <w:tcW w:w="1283" w:type="dxa"/>
            <w:vMerge w:val="restart"/>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Specificity</w:t>
            </w:r>
          </w:p>
        </w:tc>
        <w:tc>
          <w:tcPr>
            <w:tcW w:w="1191" w:type="dxa"/>
            <w:vMerge w:val="restart"/>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 xml:space="preserve">Accuracy </w:t>
            </w:r>
          </w:p>
        </w:tc>
      </w:tr>
      <w:tr w:rsidR="000312AC" w:rsidRPr="001B07DE" w:rsidTr="00F23446">
        <w:trPr>
          <w:trHeight w:val="735"/>
          <w:jc w:val="center"/>
        </w:trPr>
        <w:tc>
          <w:tcPr>
            <w:tcW w:w="1116" w:type="dxa"/>
            <w:vMerge/>
          </w:tcPr>
          <w:p w:rsidR="000312AC" w:rsidRPr="00EF22E4" w:rsidRDefault="000312AC" w:rsidP="00F23446">
            <w:pPr>
              <w:spacing w:after="0"/>
              <w:jc w:val="center"/>
              <w:rPr>
                <w:rFonts w:ascii="Times New Roman" w:hAnsi="Times New Roman"/>
                <w:sz w:val="20"/>
                <w:szCs w:val="20"/>
                <w:lang w:bidi="ar-IQ"/>
              </w:rPr>
            </w:pPr>
          </w:p>
        </w:tc>
        <w:tc>
          <w:tcPr>
            <w:tcW w:w="1003" w:type="dxa"/>
          </w:tcPr>
          <w:p w:rsidR="000312AC" w:rsidRPr="00EF22E4" w:rsidRDefault="000312AC" w:rsidP="00F23446">
            <w:pPr>
              <w:spacing w:after="0"/>
              <w:jc w:val="center"/>
              <w:rPr>
                <w:rFonts w:ascii="Times New Roman" w:hAnsi="Times New Roman"/>
                <w:b/>
                <w:bCs/>
                <w:sz w:val="20"/>
                <w:szCs w:val="20"/>
                <w:lang w:bidi="ar-IQ"/>
              </w:rPr>
            </w:pPr>
            <w:r w:rsidRPr="00EF22E4">
              <w:rPr>
                <w:rFonts w:ascii="Times New Roman" w:hAnsi="Times New Roman"/>
                <w:b/>
                <w:bCs/>
                <w:sz w:val="20"/>
                <w:szCs w:val="20"/>
                <w:lang w:bidi="ar-IQ"/>
              </w:rPr>
              <w:t>True positive</w:t>
            </w:r>
          </w:p>
        </w:tc>
        <w:tc>
          <w:tcPr>
            <w:tcW w:w="1070" w:type="dxa"/>
          </w:tcPr>
          <w:p w:rsidR="000312AC" w:rsidRPr="00EF22E4" w:rsidRDefault="000312AC" w:rsidP="00F23446">
            <w:pPr>
              <w:spacing w:after="0"/>
              <w:jc w:val="center"/>
              <w:rPr>
                <w:rFonts w:ascii="Times New Roman" w:hAnsi="Times New Roman"/>
                <w:b/>
                <w:bCs/>
                <w:sz w:val="20"/>
                <w:szCs w:val="20"/>
                <w:lang w:bidi="ar-IQ"/>
              </w:rPr>
            </w:pPr>
            <w:r w:rsidRPr="00EF22E4">
              <w:rPr>
                <w:rFonts w:ascii="Times New Roman" w:hAnsi="Times New Roman"/>
                <w:b/>
                <w:bCs/>
                <w:sz w:val="20"/>
                <w:szCs w:val="20"/>
                <w:lang w:bidi="ar-IQ"/>
              </w:rPr>
              <w:t>False negative</w:t>
            </w:r>
          </w:p>
        </w:tc>
        <w:tc>
          <w:tcPr>
            <w:tcW w:w="1070" w:type="dxa"/>
          </w:tcPr>
          <w:p w:rsidR="000312AC" w:rsidRPr="00EF22E4" w:rsidRDefault="000312AC" w:rsidP="00F23446">
            <w:pPr>
              <w:spacing w:after="0"/>
              <w:jc w:val="center"/>
              <w:rPr>
                <w:rFonts w:ascii="Times New Roman" w:hAnsi="Times New Roman"/>
                <w:b/>
                <w:bCs/>
                <w:sz w:val="20"/>
                <w:szCs w:val="20"/>
                <w:lang w:bidi="ar-IQ"/>
              </w:rPr>
            </w:pPr>
            <w:r w:rsidRPr="00EF22E4">
              <w:rPr>
                <w:rFonts w:ascii="Times New Roman" w:hAnsi="Times New Roman"/>
                <w:b/>
                <w:bCs/>
                <w:sz w:val="20"/>
                <w:szCs w:val="20"/>
                <w:lang w:bidi="ar-IQ"/>
              </w:rPr>
              <w:t>True negative</w:t>
            </w:r>
          </w:p>
        </w:tc>
        <w:tc>
          <w:tcPr>
            <w:tcW w:w="1003" w:type="dxa"/>
          </w:tcPr>
          <w:p w:rsidR="000312AC" w:rsidRPr="00EF22E4" w:rsidRDefault="000312AC" w:rsidP="00F23446">
            <w:pPr>
              <w:spacing w:after="0"/>
              <w:jc w:val="center"/>
              <w:rPr>
                <w:rFonts w:ascii="Times New Roman" w:hAnsi="Times New Roman"/>
                <w:b/>
                <w:bCs/>
                <w:sz w:val="20"/>
                <w:szCs w:val="20"/>
                <w:lang w:bidi="ar-IQ"/>
              </w:rPr>
            </w:pPr>
            <w:r w:rsidRPr="00EF22E4">
              <w:rPr>
                <w:rFonts w:ascii="Times New Roman" w:hAnsi="Times New Roman"/>
                <w:b/>
                <w:bCs/>
                <w:sz w:val="20"/>
                <w:szCs w:val="20"/>
                <w:lang w:bidi="ar-IQ"/>
              </w:rPr>
              <w:t>False positive</w:t>
            </w:r>
          </w:p>
        </w:tc>
        <w:tc>
          <w:tcPr>
            <w:tcW w:w="1283" w:type="dxa"/>
            <w:vMerge/>
          </w:tcPr>
          <w:p w:rsidR="000312AC" w:rsidRPr="00EF22E4" w:rsidRDefault="000312AC" w:rsidP="00F23446">
            <w:pPr>
              <w:spacing w:after="0"/>
              <w:jc w:val="center"/>
              <w:rPr>
                <w:rFonts w:ascii="Times New Roman" w:hAnsi="Times New Roman"/>
                <w:sz w:val="20"/>
                <w:szCs w:val="20"/>
                <w:lang w:bidi="ar-IQ"/>
              </w:rPr>
            </w:pPr>
          </w:p>
        </w:tc>
        <w:tc>
          <w:tcPr>
            <w:tcW w:w="1283" w:type="dxa"/>
            <w:vMerge/>
          </w:tcPr>
          <w:p w:rsidR="000312AC" w:rsidRPr="00EF22E4" w:rsidRDefault="000312AC" w:rsidP="00F23446">
            <w:pPr>
              <w:spacing w:after="0"/>
              <w:jc w:val="center"/>
              <w:rPr>
                <w:rFonts w:ascii="Times New Roman" w:hAnsi="Times New Roman"/>
                <w:sz w:val="20"/>
                <w:szCs w:val="20"/>
                <w:lang w:bidi="ar-IQ"/>
              </w:rPr>
            </w:pPr>
          </w:p>
        </w:tc>
        <w:tc>
          <w:tcPr>
            <w:tcW w:w="1191" w:type="dxa"/>
            <w:vMerge/>
          </w:tcPr>
          <w:p w:rsidR="000312AC" w:rsidRPr="00EF22E4" w:rsidRDefault="000312AC" w:rsidP="00F23446">
            <w:pPr>
              <w:spacing w:after="0"/>
              <w:jc w:val="center"/>
              <w:rPr>
                <w:rFonts w:ascii="Times New Roman" w:hAnsi="Times New Roman"/>
                <w:sz w:val="20"/>
                <w:szCs w:val="20"/>
                <w:lang w:bidi="ar-IQ"/>
              </w:rPr>
            </w:pPr>
          </w:p>
        </w:tc>
      </w:tr>
      <w:tr w:rsidR="000312AC" w:rsidRPr="001B07DE" w:rsidTr="00F23446">
        <w:trPr>
          <w:trHeight w:val="269"/>
          <w:jc w:val="center"/>
        </w:trPr>
        <w:tc>
          <w:tcPr>
            <w:tcW w:w="1116" w:type="dxa"/>
          </w:tcPr>
          <w:p w:rsidR="000312AC" w:rsidRPr="00EF22E4" w:rsidRDefault="000312AC" w:rsidP="00F23446">
            <w:pPr>
              <w:spacing w:after="0"/>
              <w:jc w:val="center"/>
              <w:rPr>
                <w:rFonts w:ascii="Times New Roman" w:hAnsi="Times New Roman"/>
                <w:b/>
                <w:bCs/>
                <w:sz w:val="20"/>
                <w:szCs w:val="20"/>
                <w:lang w:bidi="ar-IQ"/>
              </w:rPr>
            </w:pPr>
            <w:r w:rsidRPr="00EF22E4">
              <w:rPr>
                <w:rFonts w:ascii="Times New Roman" w:hAnsi="Times New Roman"/>
                <w:sz w:val="20"/>
                <w:szCs w:val="20"/>
                <w:lang w:bidi="ar-IQ"/>
              </w:rPr>
              <w:t>AFB smear</w:t>
            </w:r>
          </w:p>
        </w:tc>
        <w:tc>
          <w:tcPr>
            <w:tcW w:w="1003"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92</w:t>
            </w:r>
          </w:p>
        </w:tc>
        <w:tc>
          <w:tcPr>
            <w:tcW w:w="1070"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32</w:t>
            </w:r>
          </w:p>
        </w:tc>
        <w:tc>
          <w:tcPr>
            <w:tcW w:w="1070"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102</w:t>
            </w:r>
          </w:p>
        </w:tc>
        <w:tc>
          <w:tcPr>
            <w:tcW w:w="1003"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0</w:t>
            </w:r>
          </w:p>
        </w:tc>
        <w:tc>
          <w:tcPr>
            <w:tcW w:w="1283"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74%</w:t>
            </w:r>
          </w:p>
        </w:tc>
        <w:tc>
          <w:tcPr>
            <w:tcW w:w="1283"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100%</w:t>
            </w:r>
          </w:p>
        </w:tc>
        <w:tc>
          <w:tcPr>
            <w:tcW w:w="1191"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85%</w:t>
            </w:r>
          </w:p>
        </w:tc>
      </w:tr>
      <w:tr w:rsidR="000312AC" w:rsidRPr="001B07DE" w:rsidTr="00F23446">
        <w:trPr>
          <w:jc w:val="center"/>
        </w:trPr>
        <w:tc>
          <w:tcPr>
            <w:tcW w:w="1116" w:type="dxa"/>
          </w:tcPr>
          <w:p w:rsidR="000312AC" w:rsidRPr="00EF22E4" w:rsidRDefault="000312AC" w:rsidP="00F23446">
            <w:pPr>
              <w:spacing w:after="0"/>
              <w:jc w:val="center"/>
              <w:rPr>
                <w:rFonts w:ascii="Times New Roman" w:hAnsi="Times New Roman"/>
                <w:b/>
                <w:bCs/>
                <w:sz w:val="20"/>
                <w:szCs w:val="20"/>
                <w:lang w:bidi="ar-IQ"/>
              </w:rPr>
            </w:pPr>
            <w:r w:rsidRPr="00EF22E4">
              <w:rPr>
                <w:rFonts w:ascii="Times New Roman" w:hAnsi="Times New Roman"/>
                <w:sz w:val="20"/>
                <w:szCs w:val="20"/>
                <w:lang w:bidi="ar-IQ"/>
              </w:rPr>
              <w:t>Culture</w:t>
            </w:r>
          </w:p>
        </w:tc>
        <w:tc>
          <w:tcPr>
            <w:tcW w:w="1003"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54</w:t>
            </w:r>
          </w:p>
        </w:tc>
        <w:tc>
          <w:tcPr>
            <w:tcW w:w="1070"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70</w:t>
            </w:r>
          </w:p>
        </w:tc>
        <w:tc>
          <w:tcPr>
            <w:tcW w:w="1070" w:type="dxa"/>
          </w:tcPr>
          <w:p w:rsidR="000312AC" w:rsidRPr="00EF22E4" w:rsidRDefault="000312AC" w:rsidP="00F23446">
            <w:pPr>
              <w:spacing w:after="0"/>
              <w:jc w:val="center"/>
              <w:rPr>
                <w:rFonts w:ascii="Times New Roman" w:hAnsi="Times New Roman"/>
                <w:sz w:val="20"/>
                <w:szCs w:val="20"/>
              </w:rPr>
            </w:pPr>
            <w:r w:rsidRPr="00EF22E4">
              <w:rPr>
                <w:rFonts w:ascii="Times New Roman" w:hAnsi="Times New Roman"/>
                <w:sz w:val="20"/>
                <w:szCs w:val="20"/>
                <w:lang w:bidi="ar-IQ"/>
              </w:rPr>
              <w:t>102</w:t>
            </w:r>
          </w:p>
        </w:tc>
        <w:tc>
          <w:tcPr>
            <w:tcW w:w="1003"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0</w:t>
            </w:r>
          </w:p>
        </w:tc>
        <w:tc>
          <w:tcPr>
            <w:tcW w:w="1283"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43%</w:t>
            </w:r>
          </w:p>
        </w:tc>
        <w:tc>
          <w:tcPr>
            <w:tcW w:w="1283"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100%</w:t>
            </w:r>
          </w:p>
        </w:tc>
        <w:tc>
          <w:tcPr>
            <w:tcW w:w="1191"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69%</w:t>
            </w:r>
          </w:p>
        </w:tc>
      </w:tr>
      <w:tr w:rsidR="000312AC" w:rsidRPr="001B07DE" w:rsidTr="00F23446">
        <w:trPr>
          <w:jc w:val="center"/>
        </w:trPr>
        <w:tc>
          <w:tcPr>
            <w:tcW w:w="1116" w:type="dxa"/>
          </w:tcPr>
          <w:p w:rsidR="000312AC" w:rsidRPr="00EF22E4" w:rsidRDefault="000312AC" w:rsidP="00F23446">
            <w:pPr>
              <w:spacing w:after="0"/>
              <w:jc w:val="center"/>
              <w:rPr>
                <w:rFonts w:ascii="Times New Roman" w:hAnsi="Times New Roman"/>
                <w:b/>
                <w:bCs/>
                <w:sz w:val="20"/>
                <w:szCs w:val="20"/>
                <w:lang w:bidi="ar-IQ"/>
              </w:rPr>
            </w:pPr>
            <w:r w:rsidRPr="00EF22E4">
              <w:rPr>
                <w:rFonts w:ascii="Times New Roman" w:hAnsi="Times New Roman"/>
                <w:sz w:val="20"/>
                <w:szCs w:val="20"/>
                <w:lang w:bidi="ar-IQ"/>
              </w:rPr>
              <w:t>RT-PCR</w:t>
            </w:r>
          </w:p>
        </w:tc>
        <w:tc>
          <w:tcPr>
            <w:tcW w:w="1003"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110</w:t>
            </w:r>
          </w:p>
        </w:tc>
        <w:tc>
          <w:tcPr>
            <w:tcW w:w="1070"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14</w:t>
            </w:r>
          </w:p>
        </w:tc>
        <w:tc>
          <w:tcPr>
            <w:tcW w:w="1070" w:type="dxa"/>
          </w:tcPr>
          <w:p w:rsidR="000312AC" w:rsidRPr="00EF22E4" w:rsidRDefault="000312AC" w:rsidP="00F23446">
            <w:pPr>
              <w:spacing w:after="0"/>
              <w:jc w:val="center"/>
              <w:rPr>
                <w:rFonts w:ascii="Times New Roman" w:hAnsi="Times New Roman"/>
                <w:sz w:val="20"/>
                <w:szCs w:val="20"/>
              </w:rPr>
            </w:pPr>
            <w:r w:rsidRPr="00EF22E4">
              <w:rPr>
                <w:rFonts w:ascii="Times New Roman" w:hAnsi="Times New Roman"/>
                <w:sz w:val="20"/>
                <w:szCs w:val="20"/>
                <w:lang w:bidi="ar-IQ"/>
              </w:rPr>
              <w:t>102</w:t>
            </w:r>
          </w:p>
        </w:tc>
        <w:tc>
          <w:tcPr>
            <w:tcW w:w="1003"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0</w:t>
            </w:r>
          </w:p>
        </w:tc>
        <w:tc>
          <w:tcPr>
            <w:tcW w:w="1283"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88%</w:t>
            </w:r>
          </w:p>
        </w:tc>
        <w:tc>
          <w:tcPr>
            <w:tcW w:w="1283"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100%</w:t>
            </w:r>
          </w:p>
        </w:tc>
        <w:tc>
          <w:tcPr>
            <w:tcW w:w="1191"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93%</w:t>
            </w:r>
          </w:p>
        </w:tc>
      </w:tr>
      <w:tr w:rsidR="000312AC" w:rsidRPr="001B07DE" w:rsidTr="00F23446">
        <w:trPr>
          <w:jc w:val="center"/>
        </w:trPr>
        <w:tc>
          <w:tcPr>
            <w:tcW w:w="1116" w:type="dxa"/>
          </w:tcPr>
          <w:p w:rsidR="000312AC" w:rsidRPr="00EF22E4" w:rsidRDefault="000312AC" w:rsidP="00F23446">
            <w:pPr>
              <w:spacing w:after="0"/>
              <w:jc w:val="center"/>
              <w:rPr>
                <w:rFonts w:ascii="Times New Roman" w:hAnsi="Times New Roman"/>
                <w:b/>
                <w:bCs/>
                <w:sz w:val="20"/>
                <w:szCs w:val="20"/>
                <w:lang w:bidi="ar-IQ"/>
              </w:rPr>
            </w:pPr>
            <w:r w:rsidRPr="00EF22E4">
              <w:rPr>
                <w:rFonts w:ascii="Times New Roman" w:hAnsi="Times New Roman"/>
                <w:sz w:val="20"/>
                <w:szCs w:val="20"/>
                <w:lang w:bidi="ar-IQ"/>
              </w:rPr>
              <w:t>ICG</w:t>
            </w:r>
          </w:p>
        </w:tc>
        <w:tc>
          <w:tcPr>
            <w:tcW w:w="1003"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30</w:t>
            </w:r>
          </w:p>
        </w:tc>
        <w:tc>
          <w:tcPr>
            <w:tcW w:w="1070"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94</w:t>
            </w:r>
          </w:p>
        </w:tc>
        <w:tc>
          <w:tcPr>
            <w:tcW w:w="1070"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100</w:t>
            </w:r>
          </w:p>
        </w:tc>
        <w:tc>
          <w:tcPr>
            <w:tcW w:w="1003"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2</w:t>
            </w:r>
          </w:p>
        </w:tc>
        <w:tc>
          <w:tcPr>
            <w:tcW w:w="1283"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24%</w:t>
            </w:r>
          </w:p>
        </w:tc>
        <w:tc>
          <w:tcPr>
            <w:tcW w:w="1283"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98%</w:t>
            </w:r>
          </w:p>
        </w:tc>
        <w:tc>
          <w:tcPr>
            <w:tcW w:w="1191"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57%</w:t>
            </w:r>
          </w:p>
        </w:tc>
      </w:tr>
    </w:tbl>
    <w:p w:rsidR="000312AC" w:rsidRPr="001B07DE" w:rsidRDefault="000312AC" w:rsidP="000312AC">
      <w:pPr>
        <w:spacing w:after="0"/>
        <w:rPr>
          <w:rFonts w:ascii="Times New Roman" w:hAnsi="Times New Roman"/>
          <w:sz w:val="20"/>
          <w:szCs w:val="20"/>
          <w:lang w:bidi="ar-IQ"/>
        </w:rPr>
      </w:pPr>
    </w:p>
    <w:p w:rsidR="000312AC" w:rsidRPr="001B07DE" w:rsidRDefault="008F5111" w:rsidP="00861683">
      <w:pPr>
        <w:spacing w:after="0" w:line="240" w:lineRule="auto"/>
        <w:jc w:val="both"/>
        <w:rPr>
          <w:rFonts w:ascii="Times New Roman" w:hAnsi="Times New Roman"/>
          <w:sz w:val="20"/>
          <w:szCs w:val="20"/>
          <w:lang w:bidi="ar-IQ"/>
        </w:rPr>
      </w:pPr>
      <w:r w:rsidRPr="008F5111">
        <w:rPr>
          <w:rFonts w:ascii="Times New Roman" w:hAnsi="Times New Roman"/>
          <w:b/>
          <w:bCs/>
          <w:sz w:val="20"/>
          <w:szCs w:val="20"/>
          <w:u w:val="single"/>
          <w:lang w:bidi="ar-IQ"/>
        </w:rPr>
        <w:t xml:space="preserve">Table </w:t>
      </w:r>
      <w:r w:rsidR="000312AC" w:rsidRPr="008F5111">
        <w:rPr>
          <w:rFonts w:ascii="Times New Roman" w:hAnsi="Times New Roman"/>
          <w:b/>
          <w:bCs/>
          <w:sz w:val="20"/>
          <w:szCs w:val="20"/>
          <w:u w:val="single"/>
          <w:lang w:bidi="ar-IQ"/>
        </w:rPr>
        <w:t>7</w:t>
      </w:r>
      <w:r w:rsidR="000312AC" w:rsidRPr="001B07DE">
        <w:rPr>
          <w:rFonts w:ascii="Times New Roman" w:hAnsi="Times New Roman"/>
          <w:b/>
          <w:bCs/>
          <w:sz w:val="20"/>
          <w:szCs w:val="20"/>
          <w:lang w:bidi="ar-IQ"/>
        </w:rPr>
        <w:t xml:space="preserve"> </w:t>
      </w:r>
      <w:r w:rsidR="000312AC" w:rsidRPr="001B07DE">
        <w:rPr>
          <w:rFonts w:ascii="Times New Roman" w:hAnsi="Times New Roman"/>
          <w:sz w:val="20"/>
          <w:szCs w:val="20"/>
          <w:lang w:bidi="ar-IQ"/>
        </w:rPr>
        <w:t>Sensitivity, specificity and accuracy of AFB,RT-PCR and serology tests analyzed in 54 culture positive PTB patients and 102 control subjects:</w:t>
      </w:r>
    </w:p>
    <w:tbl>
      <w:tblPr>
        <w:tblW w:w="8984" w:type="dxa"/>
        <w:jc w:val="center"/>
        <w:tblBorders>
          <w:top w:val="single" w:sz="8" w:space="0" w:color="000000"/>
          <w:bottom w:val="single" w:sz="8" w:space="0" w:color="000000"/>
        </w:tblBorders>
        <w:tblLook w:val="06A0"/>
      </w:tblPr>
      <w:tblGrid>
        <w:gridCol w:w="1083"/>
        <w:gridCol w:w="1003"/>
        <w:gridCol w:w="1070"/>
        <w:gridCol w:w="1070"/>
        <w:gridCol w:w="1003"/>
        <w:gridCol w:w="1283"/>
        <w:gridCol w:w="1283"/>
        <w:gridCol w:w="1189"/>
      </w:tblGrid>
      <w:tr w:rsidR="000312AC" w:rsidRPr="001B07DE" w:rsidTr="00F23446">
        <w:trPr>
          <w:trHeight w:val="562"/>
          <w:jc w:val="center"/>
        </w:trPr>
        <w:tc>
          <w:tcPr>
            <w:tcW w:w="1083" w:type="dxa"/>
            <w:vMerge w:val="restart"/>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Test</w:t>
            </w:r>
          </w:p>
        </w:tc>
        <w:tc>
          <w:tcPr>
            <w:tcW w:w="4146" w:type="dxa"/>
            <w:gridSpan w:val="4"/>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 xml:space="preserve">No. of subjects </w:t>
            </w:r>
          </w:p>
        </w:tc>
        <w:tc>
          <w:tcPr>
            <w:tcW w:w="1283" w:type="dxa"/>
            <w:vMerge w:val="restart"/>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Sensitivity</w:t>
            </w:r>
          </w:p>
        </w:tc>
        <w:tc>
          <w:tcPr>
            <w:tcW w:w="1283" w:type="dxa"/>
            <w:vMerge w:val="restart"/>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Specificity</w:t>
            </w:r>
          </w:p>
        </w:tc>
        <w:tc>
          <w:tcPr>
            <w:tcW w:w="1189" w:type="dxa"/>
            <w:vMerge w:val="restart"/>
          </w:tcPr>
          <w:p w:rsidR="000312AC" w:rsidRPr="00EF22E4" w:rsidRDefault="000312AC" w:rsidP="00F23446">
            <w:pPr>
              <w:spacing w:after="0"/>
              <w:jc w:val="center"/>
              <w:rPr>
                <w:rFonts w:ascii="Times New Roman" w:hAnsi="Times New Roman"/>
                <w:b/>
                <w:bCs/>
                <w:sz w:val="20"/>
                <w:szCs w:val="20"/>
                <w:lang w:bidi="ar-IQ"/>
              </w:rPr>
            </w:pPr>
            <w:r w:rsidRPr="00EF22E4">
              <w:rPr>
                <w:rFonts w:ascii="Times New Roman" w:hAnsi="Times New Roman"/>
                <w:sz w:val="20"/>
                <w:szCs w:val="20"/>
                <w:lang w:bidi="ar-IQ"/>
              </w:rPr>
              <w:t xml:space="preserve">Accuracy </w:t>
            </w:r>
          </w:p>
        </w:tc>
      </w:tr>
      <w:tr w:rsidR="000312AC" w:rsidRPr="001B07DE" w:rsidTr="00F23446">
        <w:trPr>
          <w:trHeight w:val="570"/>
          <w:jc w:val="center"/>
        </w:trPr>
        <w:tc>
          <w:tcPr>
            <w:tcW w:w="1083" w:type="dxa"/>
            <w:vMerge/>
          </w:tcPr>
          <w:p w:rsidR="000312AC" w:rsidRPr="00EF22E4" w:rsidRDefault="000312AC" w:rsidP="00F23446">
            <w:pPr>
              <w:spacing w:after="0"/>
              <w:jc w:val="center"/>
              <w:rPr>
                <w:rFonts w:ascii="Times New Roman" w:hAnsi="Times New Roman"/>
                <w:sz w:val="20"/>
                <w:szCs w:val="20"/>
                <w:lang w:bidi="ar-IQ"/>
              </w:rPr>
            </w:pPr>
          </w:p>
        </w:tc>
        <w:tc>
          <w:tcPr>
            <w:tcW w:w="1003" w:type="dxa"/>
          </w:tcPr>
          <w:p w:rsidR="000312AC" w:rsidRPr="00EF22E4" w:rsidRDefault="000312AC" w:rsidP="00F23446">
            <w:pPr>
              <w:spacing w:after="0"/>
              <w:jc w:val="center"/>
              <w:rPr>
                <w:rFonts w:ascii="Times New Roman" w:hAnsi="Times New Roman"/>
                <w:b/>
                <w:bCs/>
                <w:sz w:val="20"/>
                <w:szCs w:val="20"/>
                <w:lang w:bidi="ar-IQ"/>
              </w:rPr>
            </w:pPr>
            <w:r w:rsidRPr="00EF22E4">
              <w:rPr>
                <w:rFonts w:ascii="Times New Roman" w:hAnsi="Times New Roman"/>
                <w:b/>
                <w:bCs/>
                <w:sz w:val="20"/>
                <w:szCs w:val="20"/>
                <w:lang w:bidi="ar-IQ"/>
              </w:rPr>
              <w:t>True positive</w:t>
            </w:r>
          </w:p>
        </w:tc>
        <w:tc>
          <w:tcPr>
            <w:tcW w:w="1070" w:type="dxa"/>
          </w:tcPr>
          <w:p w:rsidR="000312AC" w:rsidRPr="00EF22E4" w:rsidRDefault="000312AC" w:rsidP="00F23446">
            <w:pPr>
              <w:spacing w:after="0"/>
              <w:jc w:val="center"/>
              <w:rPr>
                <w:rFonts w:ascii="Times New Roman" w:hAnsi="Times New Roman"/>
                <w:b/>
                <w:bCs/>
                <w:sz w:val="20"/>
                <w:szCs w:val="20"/>
                <w:lang w:bidi="ar-IQ"/>
              </w:rPr>
            </w:pPr>
            <w:r w:rsidRPr="00EF22E4">
              <w:rPr>
                <w:rFonts w:ascii="Times New Roman" w:hAnsi="Times New Roman"/>
                <w:b/>
                <w:bCs/>
                <w:sz w:val="20"/>
                <w:szCs w:val="20"/>
                <w:lang w:bidi="ar-IQ"/>
              </w:rPr>
              <w:t>False negative</w:t>
            </w:r>
          </w:p>
        </w:tc>
        <w:tc>
          <w:tcPr>
            <w:tcW w:w="1070" w:type="dxa"/>
          </w:tcPr>
          <w:p w:rsidR="000312AC" w:rsidRPr="00EF22E4" w:rsidRDefault="000312AC" w:rsidP="00F23446">
            <w:pPr>
              <w:spacing w:after="0"/>
              <w:jc w:val="center"/>
              <w:rPr>
                <w:rFonts w:ascii="Times New Roman" w:hAnsi="Times New Roman"/>
                <w:b/>
                <w:bCs/>
                <w:sz w:val="20"/>
                <w:szCs w:val="20"/>
                <w:lang w:bidi="ar-IQ"/>
              </w:rPr>
            </w:pPr>
            <w:r w:rsidRPr="00EF22E4">
              <w:rPr>
                <w:rFonts w:ascii="Times New Roman" w:hAnsi="Times New Roman"/>
                <w:b/>
                <w:bCs/>
                <w:sz w:val="20"/>
                <w:szCs w:val="20"/>
                <w:lang w:bidi="ar-IQ"/>
              </w:rPr>
              <w:t>True negative</w:t>
            </w:r>
          </w:p>
        </w:tc>
        <w:tc>
          <w:tcPr>
            <w:tcW w:w="1003" w:type="dxa"/>
          </w:tcPr>
          <w:p w:rsidR="000312AC" w:rsidRPr="00EF22E4" w:rsidRDefault="000312AC" w:rsidP="00F23446">
            <w:pPr>
              <w:spacing w:after="0"/>
              <w:jc w:val="center"/>
              <w:rPr>
                <w:rFonts w:ascii="Times New Roman" w:hAnsi="Times New Roman"/>
                <w:b/>
                <w:bCs/>
                <w:sz w:val="20"/>
                <w:szCs w:val="20"/>
                <w:lang w:bidi="ar-IQ"/>
              </w:rPr>
            </w:pPr>
            <w:r w:rsidRPr="00EF22E4">
              <w:rPr>
                <w:rFonts w:ascii="Times New Roman" w:hAnsi="Times New Roman"/>
                <w:b/>
                <w:bCs/>
                <w:sz w:val="20"/>
                <w:szCs w:val="20"/>
                <w:lang w:bidi="ar-IQ"/>
              </w:rPr>
              <w:t>False positive</w:t>
            </w:r>
          </w:p>
        </w:tc>
        <w:tc>
          <w:tcPr>
            <w:tcW w:w="1283" w:type="dxa"/>
            <w:vMerge/>
          </w:tcPr>
          <w:p w:rsidR="000312AC" w:rsidRPr="00EF22E4" w:rsidRDefault="000312AC" w:rsidP="00F23446">
            <w:pPr>
              <w:spacing w:after="0"/>
              <w:jc w:val="center"/>
              <w:rPr>
                <w:rFonts w:ascii="Times New Roman" w:hAnsi="Times New Roman"/>
                <w:sz w:val="20"/>
                <w:szCs w:val="20"/>
                <w:lang w:bidi="ar-IQ"/>
              </w:rPr>
            </w:pPr>
          </w:p>
        </w:tc>
        <w:tc>
          <w:tcPr>
            <w:tcW w:w="1283" w:type="dxa"/>
            <w:vMerge/>
          </w:tcPr>
          <w:p w:rsidR="000312AC" w:rsidRPr="00EF22E4" w:rsidRDefault="000312AC" w:rsidP="00F23446">
            <w:pPr>
              <w:spacing w:after="0"/>
              <w:jc w:val="center"/>
              <w:rPr>
                <w:rFonts w:ascii="Times New Roman" w:hAnsi="Times New Roman"/>
                <w:sz w:val="20"/>
                <w:szCs w:val="20"/>
                <w:lang w:bidi="ar-IQ"/>
              </w:rPr>
            </w:pPr>
          </w:p>
        </w:tc>
        <w:tc>
          <w:tcPr>
            <w:tcW w:w="1189" w:type="dxa"/>
            <w:vMerge/>
          </w:tcPr>
          <w:p w:rsidR="000312AC" w:rsidRPr="00EF22E4" w:rsidRDefault="000312AC" w:rsidP="00F23446">
            <w:pPr>
              <w:spacing w:after="0"/>
              <w:jc w:val="center"/>
              <w:rPr>
                <w:rFonts w:ascii="Times New Roman" w:hAnsi="Times New Roman"/>
                <w:sz w:val="20"/>
                <w:szCs w:val="20"/>
                <w:lang w:bidi="ar-IQ"/>
              </w:rPr>
            </w:pPr>
          </w:p>
        </w:tc>
      </w:tr>
      <w:tr w:rsidR="000312AC" w:rsidRPr="001B07DE" w:rsidTr="00F23446">
        <w:trPr>
          <w:trHeight w:val="255"/>
          <w:jc w:val="center"/>
        </w:trPr>
        <w:tc>
          <w:tcPr>
            <w:tcW w:w="1083" w:type="dxa"/>
          </w:tcPr>
          <w:p w:rsidR="000312AC" w:rsidRPr="00EF22E4" w:rsidRDefault="000312AC" w:rsidP="00F23446">
            <w:pPr>
              <w:spacing w:after="0"/>
              <w:jc w:val="center"/>
              <w:rPr>
                <w:rFonts w:ascii="Times New Roman" w:hAnsi="Times New Roman"/>
                <w:b/>
                <w:bCs/>
                <w:sz w:val="20"/>
                <w:szCs w:val="20"/>
                <w:lang w:bidi="ar-IQ"/>
              </w:rPr>
            </w:pPr>
            <w:r w:rsidRPr="00EF22E4">
              <w:rPr>
                <w:rFonts w:ascii="Times New Roman" w:hAnsi="Times New Roman"/>
                <w:sz w:val="20"/>
                <w:szCs w:val="20"/>
                <w:lang w:bidi="ar-IQ"/>
              </w:rPr>
              <w:t>AFB Smear</w:t>
            </w:r>
          </w:p>
        </w:tc>
        <w:tc>
          <w:tcPr>
            <w:tcW w:w="1003"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42</w:t>
            </w:r>
          </w:p>
        </w:tc>
        <w:tc>
          <w:tcPr>
            <w:tcW w:w="1070"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12</w:t>
            </w:r>
          </w:p>
        </w:tc>
        <w:tc>
          <w:tcPr>
            <w:tcW w:w="1070"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102</w:t>
            </w:r>
          </w:p>
        </w:tc>
        <w:tc>
          <w:tcPr>
            <w:tcW w:w="1003"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0</w:t>
            </w:r>
          </w:p>
        </w:tc>
        <w:tc>
          <w:tcPr>
            <w:tcW w:w="1283"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77.8%</w:t>
            </w:r>
          </w:p>
        </w:tc>
        <w:tc>
          <w:tcPr>
            <w:tcW w:w="1283"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100%</w:t>
            </w:r>
          </w:p>
        </w:tc>
        <w:tc>
          <w:tcPr>
            <w:tcW w:w="1189"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92%</w:t>
            </w:r>
          </w:p>
        </w:tc>
      </w:tr>
      <w:tr w:rsidR="000312AC" w:rsidRPr="001B07DE" w:rsidTr="00F23446">
        <w:trPr>
          <w:jc w:val="center"/>
        </w:trPr>
        <w:tc>
          <w:tcPr>
            <w:tcW w:w="1083" w:type="dxa"/>
          </w:tcPr>
          <w:p w:rsidR="000312AC" w:rsidRPr="00EF22E4" w:rsidRDefault="000312AC" w:rsidP="00F23446">
            <w:pPr>
              <w:spacing w:after="0"/>
              <w:jc w:val="center"/>
              <w:rPr>
                <w:rFonts w:ascii="Times New Roman" w:hAnsi="Times New Roman"/>
                <w:b/>
                <w:bCs/>
                <w:sz w:val="20"/>
                <w:szCs w:val="20"/>
                <w:lang w:bidi="ar-IQ"/>
              </w:rPr>
            </w:pPr>
            <w:r w:rsidRPr="00EF22E4">
              <w:rPr>
                <w:rFonts w:ascii="Times New Roman" w:hAnsi="Times New Roman"/>
                <w:sz w:val="20"/>
                <w:szCs w:val="20"/>
                <w:lang w:bidi="ar-IQ"/>
              </w:rPr>
              <w:t>RT-PCR</w:t>
            </w:r>
          </w:p>
        </w:tc>
        <w:tc>
          <w:tcPr>
            <w:tcW w:w="1003"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50</w:t>
            </w:r>
          </w:p>
        </w:tc>
        <w:tc>
          <w:tcPr>
            <w:tcW w:w="1070"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4</w:t>
            </w:r>
          </w:p>
        </w:tc>
        <w:tc>
          <w:tcPr>
            <w:tcW w:w="1070" w:type="dxa"/>
          </w:tcPr>
          <w:p w:rsidR="000312AC" w:rsidRPr="00EF22E4" w:rsidRDefault="000312AC" w:rsidP="00F23446">
            <w:pPr>
              <w:spacing w:after="0"/>
              <w:jc w:val="center"/>
              <w:rPr>
                <w:rFonts w:ascii="Times New Roman" w:hAnsi="Times New Roman"/>
                <w:sz w:val="20"/>
                <w:szCs w:val="20"/>
              </w:rPr>
            </w:pPr>
            <w:r w:rsidRPr="00EF22E4">
              <w:rPr>
                <w:rFonts w:ascii="Times New Roman" w:hAnsi="Times New Roman"/>
                <w:sz w:val="20"/>
                <w:szCs w:val="20"/>
                <w:lang w:bidi="ar-IQ"/>
              </w:rPr>
              <w:t>102</w:t>
            </w:r>
          </w:p>
        </w:tc>
        <w:tc>
          <w:tcPr>
            <w:tcW w:w="1003"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0</w:t>
            </w:r>
          </w:p>
        </w:tc>
        <w:tc>
          <w:tcPr>
            <w:tcW w:w="1283"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92.6%</w:t>
            </w:r>
          </w:p>
        </w:tc>
        <w:tc>
          <w:tcPr>
            <w:tcW w:w="1283"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100%</w:t>
            </w:r>
          </w:p>
        </w:tc>
        <w:tc>
          <w:tcPr>
            <w:tcW w:w="1189"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97%</w:t>
            </w:r>
          </w:p>
        </w:tc>
      </w:tr>
      <w:tr w:rsidR="000312AC" w:rsidRPr="001B07DE" w:rsidTr="00F23446">
        <w:trPr>
          <w:jc w:val="center"/>
        </w:trPr>
        <w:tc>
          <w:tcPr>
            <w:tcW w:w="1083" w:type="dxa"/>
          </w:tcPr>
          <w:p w:rsidR="000312AC" w:rsidRPr="00EF22E4" w:rsidRDefault="000312AC" w:rsidP="00F23446">
            <w:pPr>
              <w:spacing w:after="0"/>
              <w:jc w:val="center"/>
              <w:rPr>
                <w:rFonts w:ascii="Times New Roman" w:hAnsi="Times New Roman"/>
                <w:b/>
                <w:bCs/>
                <w:sz w:val="20"/>
                <w:szCs w:val="20"/>
                <w:lang w:bidi="ar-IQ"/>
              </w:rPr>
            </w:pPr>
            <w:r w:rsidRPr="00EF22E4">
              <w:rPr>
                <w:rFonts w:ascii="Times New Roman" w:hAnsi="Times New Roman"/>
                <w:sz w:val="20"/>
                <w:szCs w:val="20"/>
                <w:lang w:bidi="ar-IQ"/>
              </w:rPr>
              <w:t>ICG</w:t>
            </w:r>
          </w:p>
        </w:tc>
        <w:tc>
          <w:tcPr>
            <w:tcW w:w="1003"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22</w:t>
            </w:r>
          </w:p>
        </w:tc>
        <w:tc>
          <w:tcPr>
            <w:tcW w:w="1070"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32</w:t>
            </w:r>
          </w:p>
        </w:tc>
        <w:tc>
          <w:tcPr>
            <w:tcW w:w="1070"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100</w:t>
            </w:r>
          </w:p>
        </w:tc>
        <w:tc>
          <w:tcPr>
            <w:tcW w:w="1003"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2</w:t>
            </w:r>
          </w:p>
        </w:tc>
        <w:tc>
          <w:tcPr>
            <w:tcW w:w="1283"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40.7%</w:t>
            </w:r>
          </w:p>
        </w:tc>
        <w:tc>
          <w:tcPr>
            <w:tcW w:w="1283"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98%</w:t>
            </w:r>
          </w:p>
        </w:tc>
        <w:tc>
          <w:tcPr>
            <w:tcW w:w="1189" w:type="dxa"/>
          </w:tcPr>
          <w:p w:rsidR="000312AC" w:rsidRPr="00EF22E4" w:rsidRDefault="000312AC" w:rsidP="00F23446">
            <w:pPr>
              <w:spacing w:after="0"/>
              <w:jc w:val="center"/>
              <w:rPr>
                <w:rFonts w:ascii="Times New Roman" w:hAnsi="Times New Roman"/>
                <w:sz w:val="20"/>
                <w:szCs w:val="20"/>
                <w:lang w:bidi="ar-IQ"/>
              </w:rPr>
            </w:pPr>
            <w:r w:rsidRPr="00EF22E4">
              <w:rPr>
                <w:rFonts w:ascii="Times New Roman" w:hAnsi="Times New Roman"/>
                <w:sz w:val="20"/>
                <w:szCs w:val="20"/>
                <w:lang w:bidi="ar-IQ"/>
              </w:rPr>
              <w:t>78%</w:t>
            </w:r>
          </w:p>
        </w:tc>
      </w:tr>
    </w:tbl>
    <w:p w:rsidR="00B47D5E" w:rsidRDefault="00B47D5E" w:rsidP="000312AC">
      <w:pPr>
        <w:spacing w:line="360" w:lineRule="auto"/>
        <w:ind w:firstLine="720"/>
        <w:jc w:val="both"/>
        <w:rPr>
          <w:rFonts w:ascii="Times New Roman" w:hAnsi="Times New Roman"/>
          <w:sz w:val="20"/>
          <w:szCs w:val="20"/>
          <w:lang w:bidi="ar-IQ"/>
        </w:rPr>
      </w:pPr>
    </w:p>
    <w:p w:rsidR="00B47D5E" w:rsidRDefault="00B47D5E">
      <w:pPr>
        <w:rPr>
          <w:rFonts w:ascii="Times New Roman" w:hAnsi="Times New Roman"/>
          <w:sz w:val="20"/>
          <w:szCs w:val="20"/>
          <w:lang w:bidi="ar-IQ"/>
        </w:rPr>
      </w:pPr>
      <w:r>
        <w:rPr>
          <w:rFonts w:ascii="Times New Roman" w:hAnsi="Times New Roman"/>
          <w:sz w:val="20"/>
          <w:szCs w:val="20"/>
          <w:lang w:bidi="ar-IQ"/>
        </w:rPr>
        <w:br w:type="page"/>
      </w:r>
    </w:p>
    <w:p w:rsidR="000312AC" w:rsidRDefault="000312AC" w:rsidP="000312AC">
      <w:pPr>
        <w:spacing w:line="360" w:lineRule="auto"/>
        <w:ind w:firstLine="720"/>
        <w:jc w:val="both"/>
        <w:rPr>
          <w:rFonts w:ascii="Times New Roman" w:hAnsi="Times New Roman"/>
          <w:sz w:val="28"/>
          <w:szCs w:val="28"/>
          <w:lang w:bidi="ar-IQ"/>
        </w:rPr>
      </w:pPr>
      <w:r>
        <w:rPr>
          <w:noProof/>
          <w:rtl/>
        </w:rPr>
        <w:lastRenderedPageBreak/>
        <w:drawing>
          <wp:anchor distT="0" distB="0" distL="114300" distR="114300" simplePos="0" relativeHeight="251663360" behindDoc="0" locked="0" layoutInCell="1" allowOverlap="1">
            <wp:simplePos x="0" y="0"/>
            <wp:positionH relativeFrom="column">
              <wp:posOffset>314325</wp:posOffset>
            </wp:positionH>
            <wp:positionV relativeFrom="paragraph">
              <wp:posOffset>-323850</wp:posOffset>
            </wp:positionV>
            <wp:extent cx="5305425" cy="3095625"/>
            <wp:effectExtent l="19050" t="0" r="9525" b="0"/>
            <wp:wrapNone/>
            <wp:docPr id="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0312AC" w:rsidRDefault="000312AC" w:rsidP="000312AC">
      <w:pPr>
        <w:spacing w:line="360" w:lineRule="auto"/>
        <w:jc w:val="both"/>
        <w:rPr>
          <w:rFonts w:ascii="Times New Roman" w:hAnsi="Times New Roman"/>
          <w:sz w:val="28"/>
          <w:szCs w:val="28"/>
          <w:lang w:bidi="ar-IQ"/>
        </w:rPr>
      </w:pPr>
    </w:p>
    <w:p w:rsidR="000312AC" w:rsidRDefault="000312AC" w:rsidP="000312AC">
      <w:pPr>
        <w:spacing w:line="360" w:lineRule="auto"/>
        <w:jc w:val="both"/>
        <w:rPr>
          <w:rFonts w:ascii="Times New Roman" w:hAnsi="Times New Roman"/>
          <w:sz w:val="28"/>
          <w:szCs w:val="28"/>
          <w:lang w:bidi="ar-IQ"/>
        </w:rPr>
      </w:pPr>
    </w:p>
    <w:p w:rsidR="000312AC" w:rsidRDefault="000312AC" w:rsidP="000312AC">
      <w:pPr>
        <w:spacing w:line="360" w:lineRule="auto"/>
        <w:jc w:val="both"/>
        <w:rPr>
          <w:rFonts w:ascii="Times New Roman" w:hAnsi="Times New Roman"/>
          <w:sz w:val="28"/>
          <w:szCs w:val="28"/>
          <w:lang w:bidi="ar-IQ"/>
        </w:rPr>
      </w:pPr>
    </w:p>
    <w:p w:rsidR="000312AC" w:rsidRDefault="000312AC" w:rsidP="000312AC">
      <w:pPr>
        <w:spacing w:line="360" w:lineRule="auto"/>
        <w:jc w:val="both"/>
        <w:rPr>
          <w:rFonts w:ascii="Times New Roman" w:hAnsi="Times New Roman"/>
          <w:sz w:val="28"/>
          <w:szCs w:val="28"/>
          <w:lang w:bidi="ar-IQ"/>
        </w:rPr>
      </w:pPr>
    </w:p>
    <w:p w:rsidR="000312AC" w:rsidRDefault="000312AC" w:rsidP="000312AC">
      <w:pPr>
        <w:spacing w:line="360" w:lineRule="auto"/>
        <w:jc w:val="both"/>
        <w:rPr>
          <w:rFonts w:ascii="Times New Roman" w:hAnsi="Times New Roman"/>
          <w:sz w:val="28"/>
          <w:szCs w:val="28"/>
          <w:lang w:bidi="ar-IQ"/>
        </w:rPr>
      </w:pPr>
    </w:p>
    <w:p w:rsidR="00756FFD" w:rsidRDefault="00756FFD" w:rsidP="000312AC">
      <w:pPr>
        <w:spacing w:after="0" w:line="360" w:lineRule="auto"/>
        <w:jc w:val="both"/>
        <w:rPr>
          <w:rFonts w:ascii="Times New Roman" w:hAnsi="Times New Roman"/>
          <w:b/>
          <w:bCs/>
          <w:sz w:val="20"/>
          <w:szCs w:val="20"/>
          <w:lang w:bidi="ar-IQ"/>
        </w:rPr>
      </w:pPr>
    </w:p>
    <w:p w:rsidR="000312AC" w:rsidRPr="00861683" w:rsidRDefault="0015764B" w:rsidP="00861683">
      <w:pPr>
        <w:spacing w:after="0" w:line="240" w:lineRule="auto"/>
        <w:jc w:val="both"/>
        <w:rPr>
          <w:rFonts w:ascii="Times New Roman" w:hAnsi="Times New Roman"/>
          <w:sz w:val="24"/>
          <w:szCs w:val="24"/>
          <w:lang w:bidi="ar-IQ"/>
        </w:rPr>
      </w:pPr>
      <w:r w:rsidRPr="00861683">
        <w:rPr>
          <w:rFonts w:ascii="Times New Roman" w:hAnsi="Times New Roman"/>
          <w:b/>
          <w:bCs/>
          <w:sz w:val="24"/>
          <w:szCs w:val="24"/>
          <w:u w:val="single"/>
          <w:lang w:bidi="ar-IQ"/>
        </w:rPr>
        <w:t>Figure 1</w:t>
      </w:r>
      <w:r w:rsidR="000312AC" w:rsidRPr="00861683">
        <w:rPr>
          <w:rFonts w:ascii="Times New Roman" w:hAnsi="Times New Roman"/>
          <w:sz w:val="24"/>
          <w:szCs w:val="24"/>
          <w:lang w:bidi="ar-IQ"/>
        </w:rPr>
        <w:t xml:space="preserve"> Comparison between the sensitivity of the each single TB diagnostic test and combination of RT-PCR and AFS smear. </w:t>
      </w:r>
    </w:p>
    <w:p w:rsidR="000312AC" w:rsidRDefault="00756FFD" w:rsidP="000312AC">
      <w:pPr>
        <w:pStyle w:val="1"/>
        <w:numPr>
          <w:ilvl w:val="0"/>
          <w:numId w:val="0"/>
        </w:numPr>
        <w:spacing w:before="0"/>
        <w:ind w:left="360"/>
        <w:jc w:val="left"/>
        <w:rPr>
          <w:b/>
          <w:bCs/>
          <w:sz w:val="22"/>
          <w:szCs w:val="22"/>
        </w:rPr>
      </w:pPr>
      <w:r>
        <w:rPr>
          <w:b/>
          <w:bCs/>
          <w:noProof/>
          <w:sz w:val="22"/>
          <w:szCs w:val="22"/>
        </w:rPr>
        <w:drawing>
          <wp:anchor distT="0" distB="0" distL="114300" distR="114300" simplePos="0" relativeHeight="251665408" behindDoc="0" locked="0" layoutInCell="1" allowOverlap="1">
            <wp:simplePos x="0" y="0"/>
            <wp:positionH relativeFrom="column">
              <wp:posOffset>876300</wp:posOffset>
            </wp:positionH>
            <wp:positionV relativeFrom="paragraph">
              <wp:posOffset>131445</wp:posOffset>
            </wp:positionV>
            <wp:extent cx="4367530" cy="3970020"/>
            <wp:effectExtent l="19050" t="19050" r="13970" b="11430"/>
            <wp:wrapNone/>
            <wp:docPr id="10" name="Picture 6" descr="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jpg"/>
                    <pic:cNvPicPr/>
                  </pic:nvPicPr>
                  <pic:blipFill>
                    <a:blip r:embed="rId17" cstate="print">
                      <a:grayscl/>
                    </a:blip>
                    <a:stretch>
                      <a:fillRect/>
                    </a:stretch>
                  </pic:blipFill>
                  <pic:spPr>
                    <a:xfrm>
                      <a:off x="0" y="0"/>
                      <a:ext cx="4367530" cy="3970020"/>
                    </a:xfrm>
                    <a:prstGeom prst="rect">
                      <a:avLst/>
                    </a:prstGeom>
                    <a:ln>
                      <a:solidFill>
                        <a:schemeClr val="tx1"/>
                      </a:solidFill>
                    </a:ln>
                  </pic:spPr>
                </pic:pic>
              </a:graphicData>
            </a:graphic>
          </wp:anchor>
        </w:drawing>
      </w:r>
    </w:p>
    <w:p w:rsidR="000312AC" w:rsidRPr="005A73C2" w:rsidRDefault="000312AC" w:rsidP="000312AC">
      <w:pPr>
        <w:adjustRightInd w:val="0"/>
        <w:spacing w:after="0"/>
        <w:jc w:val="center"/>
        <w:rPr>
          <w:rFonts w:ascii="Times New Roman" w:hAnsi="Times New Roman"/>
          <w:sz w:val="20"/>
          <w:szCs w:val="20"/>
        </w:rPr>
      </w:pPr>
    </w:p>
    <w:p w:rsidR="00756FFD" w:rsidRDefault="00756FFD" w:rsidP="00756FFD">
      <w:pPr>
        <w:rPr>
          <w:b/>
          <w:bCs/>
        </w:rPr>
      </w:pPr>
    </w:p>
    <w:p w:rsidR="00756FFD" w:rsidRDefault="00756FFD" w:rsidP="00756FFD">
      <w:pPr>
        <w:rPr>
          <w:b/>
          <w:bCs/>
        </w:rPr>
      </w:pPr>
    </w:p>
    <w:p w:rsidR="00756FFD" w:rsidRDefault="00756FFD" w:rsidP="00756FFD">
      <w:pPr>
        <w:rPr>
          <w:b/>
          <w:bCs/>
        </w:rPr>
      </w:pPr>
    </w:p>
    <w:p w:rsidR="00756FFD" w:rsidRDefault="00756FFD" w:rsidP="00756FFD">
      <w:pPr>
        <w:rPr>
          <w:b/>
          <w:bCs/>
        </w:rPr>
      </w:pPr>
    </w:p>
    <w:p w:rsidR="00756FFD" w:rsidRDefault="00756FFD" w:rsidP="00756FFD">
      <w:pPr>
        <w:rPr>
          <w:b/>
          <w:bCs/>
        </w:rPr>
      </w:pPr>
    </w:p>
    <w:p w:rsidR="00756FFD" w:rsidRDefault="00756FFD" w:rsidP="00756FFD">
      <w:pPr>
        <w:rPr>
          <w:b/>
          <w:bCs/>
        </w:rPr>
      </w:pPr>
    </w:p>
    <w:p w:rsidR="00756FFD" w:rsidRDefault="00756FFD" w:rsidP="00756FFD">
      <w:pPr>
        <w:rPr>
          <w:b/>
          <w:bCs/>
        </w:rPr>
      </w:pPr>
    </w:p>
    <w:p w:rsidR="00756FFD" w:rsidRDefault="00756FFD" w:rsidP="00756FFD">
      <w:pPr>
        <w:rPr>
          <w:b/>
          <w:bCs/>
        </w:rPr>
      </w:pPr>
    </w:p>
    <w:p w:rsidR="00756FFD" w:rsidRDefault="00756FFD" w:rsidP="00756FFD">
      <w:pPr>
        <w:rPr>
          <w:b/>
          <w:bCs/>
        </w:rPr>
      </w:pPr>
    </w:p>
    <w:p w:rsidR="00756FFD" w:rsidRDefault="00756FFD" w:rsidP="00756FFD">
      <w:pPr>
        <w:rPr>
          <w:b/>
          <w:bCs/>
        </w:rPr>
      </w:pPr>
    </w:p>
    <w:p w:rsidR="00756FFD" w:rsidRDefault="00756FFD" w:rsidP="00756FFD">
      <w:pPr>
        <w:rPr>
          <w:b/>
          <w:bCs/>
        </w:rPr>
      </w:pPr>
    </w:p>
    <w:p w:rsidR="00756FFD" w:rsidRDefault="00756FFD" w:rsidP="00756FFD">
      <w:pPr>
        <w:rPr>
          <w:b/>
          <w:bCs/>
        </w:rPr>
      </w:pPr>
    </w:p>
    <w:p w:rsidR="00756FFD" w:rsidRPr="00861683" w:rsidRDefault="0015764B" w:rsidP="00861683">
      <w:pPr>
        <w:spacing w:after="0" w:line="240" w:lineRule="auto"/>
        <w:jc w:val="both"/>
        <w:rPr>
          <w:rFonts w:ascii="Times New Roman" w:hAnsi="Times New Roman"/>
          <w:b/>
          <w:bCs/>
          <w:sz w:val="24"/>
          <w:szCs w:val="24"/>
          <w:lang w:bidi="ar-IQ"/>
        </w:rPr>
      </w:pPr>
      <w:r w:rsidRPr="00861683">
        <w:rPr>
          <w:rFonts w:ascii="Times New Roman" w:hAnsi="Times New Roman"/>
          <w:b/>
          <w:bCs/>
          <w:sz w:val="24"/>
          <w:szCs w:val="24"/>
          <w:u w:val="single"/>
          <w:lang w:bidi="ar-IQ"/>
        </w:rPr>
        <w:t>Figure 2</w:t>
      </w:r>
      <w:r w:rsidR="00756FFD" w:rsidRPr="00861683">
        <w:rPr>
          <w:rFonts w:ascii="Times New Roman" w:hAnsi="Times New Roman"/>
          <w:sz w:val="24"/>
          <w:szCs w:val="24"/>
          <w:lang w:bidi="ar-IQ"/>
        </w:rPr>
        <w:t xml:space="preserve"> Results of Real time-PCR. The dark curve represent the florescence of MTB- specific probe (FAM labeled probe) which indicate a positive PCR amplification of M tuberculosis. The light  curve represent the internal positive control (TAMRA labeled probe). </w:t>
      </w:r>
      <w:r w:rsidR="00756FFD" w:rsidRPr="00861683">
        <w:rPr>
          <w:rFonts w:ascii="Times New Roman" w:hAnsi="Times New Roman"/>
          <w:b/>
          <w:bCs/>
          <w:sz w:val="24"/>
          <w:szCs w:val="24"/>
          <w:lang w:bidi="ar-IQ"/>
        </w:rPr>
        <w:t xml:space="preserve">  </w:t>
      </w:r>
    </w:p>
    <w:p w:rsidR="00756FFD" w:rsidRPr="00861683" w:rsidRDefault="00756FFD" w:rsidP="00861683">
      <w:pPr>
        <w:spacing w:line="240" w:lineRule="auto"/>
        <w:rPr>
          <w:b/>
          <w:bCs/>
          <w:sz w:val="24"/>
          <w:szCs w:val="24"/>
        </w:rPr>
      </w:pPr>
    </w:p>
    <w:p w:rsidR="00861683" w:rsidRDefault="00861683" w:rsidP="00861683">
      <w:pPr>
        <w:pStyle w:val="1"/>
        <w:numPr>
          <w:ilvl w:val="0"/>
          <w:numId w:val="0"/>
        </w:numPr>
        <w:tabs>
          <w:tab w:val="right" w:pos="567"/>
        </w:tabs>
        <w:adjustRightInd w:val="0"/>
        <w:spacing w:before="0" w:after="0"/>
        <w:jc w:val="both"/>
        <w:rPr>
          <w:rFonts w:asciiTheme="majorBidi" w:eastAsia="Calibri" w:hAnsiTheme="majorBidi" w:cstheme="majorBidi"/>
          <w:b/>
          <w:bCs/>
          <w:smallCaps w:val="0"/>
          <w:kern w:val="0"/>
          <w:sz w:val="24"/>
          <w:szCs w:val="24"/>
          <w:u w:val="single"/>
          <w:lang w:bidi="ar-IQ"/>
        </w:rPr>
        <w:sectPr w:rsidR="00861683" w:rsidSect="00861683">
          <w:type w:val="continuous"/>
          <w:pgSz w:w="11907" w:h="16840" w:code="9"/>
          <w:pgMar w:top="1440" w:right="1800" w:bottom="1440" w:left="1800" w:header="1138" w:footer="514" w:gutter="0"/>
          <w:cols w:space="720"/>
          <w:titlePg/>
          <w:docGrid w:linePitch="360"/>
        </w:sectPr>
      </w:pPr>
    </w:p>
    <w:p w:rsidR="000312AC" w:rsidRPr="00861683" w:rsidRDefault="000312AC" w:rsidP="00861683">
      <w:pPr>
        <w:pStyle w:val="1"/>
        <w:numPr>
          <w:ilvl w:val="0"/>
          <w:numId w:val="0"/>
        </w:numPr>
        <w:tabs>
          <w:tab w:val="right" w:pos="567"/>
        </w:tabs>
        <w:adjustRightInd w:val="0"/>
        <w:spacing w:before="0" w:after="0"/>
        <w:jc w:val="both"/>
        <w:rPr>
          <w:rFonts w:asciiTheme="majorBidi" w:eastAsia="Calibri" w:hAnsiTheme="majorBidi" w:cstheme="majorBidi"/>
          <w:b/>
          <w:bCs/>
          <w:smallCaps w:val="0"/>
          <w:kern w:val="0"/>
          <w:sz w:val="24"/>
          <w:szCs w:val="24"/>
          <w:u w:val="single"/>
          <w:lang w:bidi="ar-IQ"/>
        </w:rPr>
      </w:pPr>
      <w:r w:rsidRPr="00861683">
        <w:rPr>
          <w:rFonts w:asciiTheme="majorBidi" w:eastAsia="Calibri" w:hAnsiTheme="majorBidi" w:cstheme="majorBidi"/>
          <w:b/>
          <w:bCs/>
          <w:smallCaps w:val="0"/>
          <w:kern w:val="0"/>
          <w:sz w:val="24"/>
          <w:szCs w:val="24"/>
          <w:u w:val="single"/>
          <w:lang w:bidi="ar-IQ"/>
        </w:rPr>
        <w:lastRenderedPageBreak/>
        <w:t xml:space="preserve">References </w:t>
      </w:r>
    </w:p>
    <w:p w:rsidR="000312AC" w:rsidRPr="00861683" w:rsidRDefault="000312AC" w:rsidP="00861683">
      <w:pPr>
        <w:pStyle w:val="a6"/>
        <w:numPr>
          <w:ilvl w:val="0"/>
          <w:numId w:val="4"/>
        </w:numPr>
        <w:tabs>
          <w:tab w:val="right" w:pos="567"/>
        </w:tabs>
        <w:bidi w:val="0"/>
        <w:spacing w:after="0" w:line="240" w:lineRule="auto"/>
        <w:ind w:left="0" w:firstLine="0"/>
        <w:jc w:val="both"/>
        <w:rPr>
          <w:rFonts w:asciiTheme="majorBidi" w:hAnsiTheme="majorBidi" w:cstheme="majorBidi"/>
          <w:sz w:val="24"/>
          <w:szCs w:val="24"/>
          <w:lang w:bidi="ar-IQ"/>
        </w:rPr>
      </w:pPr>
      <w:bookmarkStart w:id="1" w:name="_Ref337286498"/>
      <w:r w:rsidRPr="00861683">
        <w:rPr>
          <w:rFonts w:asciiTheme="majorBidi" w:hAnsiTheme="majorBidi" w:cstheme="majorBidi"/>
          <w:sz w:val="24"/>
          <w:szCs w:val="24"/>
          <w:lang w:bidi="ar-IQ"/>
        </w:rPr>
        <w:t>World Health Organization, Global tuberculosis control 2010. Geneva, 2010, WHO/HTM/TB/2010.7.</w:t>
      </w:r>
      <w:bookmarkEnd w:id="1"/>
    </w:p>
    <w:p w:rsidR="000312AC" w:rsidRPr="00861683" w:rsidRDefault="000312AC" w:rsidP="00861683">
      <w:pPr>
        <w:pStyle w:val="a6"/>
        <w:numPr>
          <w:ilvl w:val="0"/>
          <w:numId w:val="4"/>
        </w:numPr>
        <w:tabs>
          <w:tab w:val="right" w:pos="567"/>
        </w:tabs>
        <w:bidi w:val="0"/>
        <w:spacing w:after="0" w:line="240" w:lineRule="auto"/>
        <w:ind w:left="0" w:firstLine="0"/>
        <w:jc w:val="both"/>
        <w:rPr>
          <w:rFonts w:asciiTheme="majorBidi" w:hAnsiTheme="majorBidi" w:cstheme="majorBidi"/>
          <w:sz w:val="24"/>
          <w:szCs w:val="24"/>
          <w:lang w:bidi="ar-IQ"/>
        </w:rPr>
      </w:pPr>
      <w:bookmarkStart w:id="2" w:name="_Ref337286555"/>
      <w:r w:rsidRPr="00861683">
        <w:rPr>
          <w:rFonts w:asciiTheme="majorBidi" w:hAnsiTheme="majorBidi" w:cstheme="majorBidi"/>
          <w:sz w:val="24"/>
          <w:szCs w:val="24"/>
          <w:lang w:bidi="ar-IQ"/>
        </w:rPr>
        <w:t xml:space="preserve">P. K. Lam , A. </w:t>
      </w:r>
      <w:proofErr w:type="spellStart"/>
      <w:r w:rsidRPr="00861683">
        <w:rPr>
          <w:rFonts w:asciiTheme="majorBidi" w:hAnsiTheme="majorBidi" w:cstheme="majorBidi"/>
          <w:sz w:val="24"/>
          <w:szCs w:val="24"/>
          <w:lang w:bidi="ar-IQ"/>
        </w:rPr>
        <w:t>Catanzarom</w:t>
      </w:r>
      <w:proofErr w:type="spellEnd"/>
      <w:r w:rsidRPr="00861683">
        <w:rPr>
          <w:rFonts w:asciiTheme="majorBidi" w:hAnsiTheme="majorBidi" w:cstheme="majorBidi"/>
          <w:sz w:val="24"/>
          <w:szCs w:val="24"/>
          <w:lang w:bidi="ar-IQ"/>
        </w:rPr>
        <w:t xml:space="preserve">, and S. Perry, Diagnosis of pulmonary and </w:t>
      </w:r>
      <w:proofErr w:type="spellStart"/>
      <w:r w:rsidRPr="00861683">
        <w:rPr>
          <w:rFonts w:asciiTheme="majorBidi" w:hAnsiTheme="majorBidi" w:cstheme="majorBidi"/>
          <w:sz w:val="24"/>
          <w:szCs w:val="24"/>
          <w:lang w:bidi="ar-IQ"/>
        </w:rPr>
        <w:t>extrapulmonary</w:t>
      </w:r>
      <w:proofErr w:type="spellEnd"/>
      <w:r w:rsidRPr="00861683">
        <w:rPr>
          <w:rFonts w:asciiTheme="majorBidi" w:hAnsiTheme="majorBidi" w:cstheme="majorBidi"/>
          <w:sz w:val="24"/>
          <w:szCs w:val="24"/>
          <w:lang w:bidi="ar-IQ"/>
        </w:rPr>
        <w:t xml:space="preserve"> tuberculosis, in C. </w:t>
      </w:r>
      <w:proofErr w:type="spellStart"/>
      <w:r w:rsidRPr="00861683">
        <w:rPr>
          <w:rFonts w:asciiTheme="majorBidi" w:hAnsiTheme="majorBidi" w:cstheme="majorBidi"/>
          <w:sz w:val="24"/>
          <w:szCs w:val="24"/>
          <w:lang w:bidi="ar-IQ"/>
        </w:rPr>
        <w:t>Raviglione</w:t>
      </w:r>
      <w:proofErr w:type="spellEnd"/>
      <w:r w:rsidRPr="00861683">
        <w:rPr>
          <w:rFonts w:asciiTheme="majorBidi" w:hAnsiTheme="majorBidi" w:cstheme="majorBidi"/>
          <w:sz w:val="24"/>
          <w:szCs w:val="24"/>
          <w:lang w:bidi="ar-IQ"/>
        </w:rPr>
        <w:t xml:space="preserve">. Tuberculosis : The Essentials. 4th Ed. (New York: </w:t>
      </w:r>
      <w:proofErr w:type="spellStart"/>
      <w:r w:rsidRPr="00861683">
        <w:rPr>
          <w:rFonts w:asciiTheme="majorBidi" w:hAnsiTheme="majorBidi" w:cstheme="majorBidi"/>
          <w:sz w:val="24"/>
          <w:szCs w:val="24"/>
          <w:lang w:bidi="ar-IQ"/>
        </w:rPr>
        <w:t>Informa</w:t>
      </w:r>
      <w:proofErr w:type="spellEnd"/>
      <w:r w:rsidRPr="00861683">
        <w:rPr>
          <w:rFonts w:asciiTheme="majorBidi" w:hAnsiTheme="majorBidi" w:cstheme="majorBidi"/>
          <w:sz w:val="24"/>
          <w:szCs w:val="24"/>
          <w:lang w:bidi="ar-IQ"/>
        </w:rPr>
        <w:t xml:space="preserve"> Healthcare 2010) 81-113.</w:t>
      </w:r>
      <w:bookmarkEnd w:id="2"/>
      <w:r w:rsidRPr="00861683">
        <w:rPr>
          <w:rFonts w:asciiTheme="majorBidi" w:hAnsiTheme="majorBidi" w:cstheme="majorBidi"/>
          <w:sz w:val="24"/>
          <w:szCs w:val="24"/>
          <w:lang w:bidi="ar-IQ"/>
        </w:rPr>
        <w:t xml:space="preserve">  </w:t>
      </w:r>
    </w:p>
    <w:p w:rsidR="000312AC" w:rsidRPr="00861683" w:rsidRDefault="000312AC" w:rsidP="00861683">
      <w:pPr>
        <w:pStyle w:val="a6"/>
        <w:numPr>
          <w:ilvl w:val="0"/>
          <w:numId w:val="4"/>
        </w:numPr>
        <w:tabs>
          <w:tab w:val="right" w:pos="567"/>
        </w:tabs>
        <w:bidi w:val="0"/>
        <w:spacing w:after="0" w:line="240" w:lineRule="auto"/>
        <w:ind w:left="0" w:firstLine="0"/>
        <w:jc w:val="both"/>
        <w:rPr>
          <w:rFonts w:asciiTheme="majorBidi" w:hAnsiTheme="majorBidi" w:cstheme="majorBidi"/>
          <w:sz w:val="24"/>
          <w:szCs w:val="24"/>
          <w:lang w:bidi="ar-IQ"/>
        </w:rPr>
      </w:pPr>
      <w:bookmarkStart w:id="3" w:name="_Ref337286578"/>
      <w:r w:rsidRPr="00861683">
        <w:rPr>
          <w:rFonts w:asciiTheme="majorBidi" w:hAnsiTheme="majorBidi" w:cstheme="majorBidi"/>
          <w:sz w:val="24"/>
          <w:szCs w:val="24"/>
          <w:lang w:bidi="ar-IQ"/>
        </w:rPr>
        <w:t xml:space="preserve">M.D. Perkins. New diagnostic tools for tuberculosis. </w:t>
      </w:r>
      <w:proofErr w:type="spellStart"/>
      <w:r w:rsidRPr="00861683">
        <w:rPr>
          <w:rFonts w:asciiTheme="majorBidi" w:hAnsiTheme="majorBidi" w:cstheme="majorBidi"/>
          <w:i/>
          <w:iCs/>
          <w:sz w:val="24"/>
          <w:szCs w:val="24"/>
          <w:lang w:bidi="ar-IQ"/>
        </w:rPr>
        <w:t>Int</w:t>
      </w:r>
      <w:proofErr w:type="spellEnd"/>
      <w:r w:rsidRPr="00861683">
        <w:rPr>
          <w:rFonts w:asciiTheme="majorBidi" w:hAnsiTheme="majorBidi" w:cstheme="majorBidi"/>
          <w:i/>
          <w:iCs/>
          <w:sz w:val="24"/>
          <w:szCs w:val="24"/>
          <w:lang w:bidi="ar-IQ"/>
        </w:rPr>
        <w:t xml:space="preserve"> J </w:t>
      </w:r>
      <w:proofErr w:type="spellStart"/>
      <w:r w:rsidRPr="00861683">
        <w:rPr>
          <w:rFonts w:asciiTheme="majorBidi" w:hAnsiTheme="majorBidi" w:cstheme="majorBidi"/>
          <w:i/>
          <w:iCs/>
          <w:sz w:val="24"/>
          <w:szCs w:val="24"/>
          <w:lang w:bidi="ar-IQ"/>
        </w:rPr>
        <w:t>Tuberc</w:t>
      </w:r>
      <w:proofErr w:type="spellEnd"/>
      <w:r w:rsidRPr="00861683">
        <w:rPr>
          <w:rFonts w:asciiTheme="majorBidi" w:hAnsiTheme="majorBidi" w:cstheme="majorBidi"/>
          <w:i/>
          <w:iCs/>
          <w:sz w:val="24"/>
          <w:szCs w:val="24"/>
          <w:lang w:bidi="ar-IQ"/>
        </w:rPr>
        <w:t xml:space="preserve"> Lung Dis.;4(12 </w:t>
      </w:r>
      <w:proofErr w:type="spellStart"/>
      <w:r w:rsidRPr="00861683">
        <w:rPr>
          <w:rFonts w:asciiTheme="majorBidi" w:hAnsiTheme="majorBidi" w:cstheme="majorBidi"/>
          <w:i/>
          <w:iCs/>
          <w:sz w:val="24"/>
          <w:szCs w:val="24"/>
          <w:lang w:bidi="ar-IQ"/>
        </w:rPr>
        <w:t>Suppl</w:t>
      </w:r>
      <w:proofErr w:type="spellEnd"/>
      <w:r w:rsidRPr="00861683">
        <w:rPr>
          <w:rFonts w:asciiTheme="majorBidi" w:hAnsiTheme="majorBidi" w:cstheme="majorBidi"/>
          <w:i/>
          <w:iCs/>
          <w:sz w:val="24"/>
          <w:szCs w:val="24"/>
          <w:lang w:bidi="ar-IQ"/>
        </w:rPr>
        <w:t xml:space="preserve"> 2)</w:t>
      </w:r>
      <w:r w:rsidRPr="00861683">
        <w:rPr>
          <w:rFonts w:asciiTheme="majorBidi" w:hAnsiTheme="majorBidi" w:cstheme="majorBidi"/>
          <w:sz w:val="24"/>
          <w:szCs w:val="24"/>
          <w:lang w:bidi="ar-IQ"/>
        </w:rPr>
        <w:t xml:space="preserve"> . 2000, S182-8.</w:t>
      </w:r>
      <w:bookmarkEnd w:id="3"/>
    </w:p>
    <w:p w:rsidR="000312AC" w:rsidRPr="00861683" w:rsidRDefault="000312AC" w:rsidP="00861683">
      <w:pPr>
        <w:pStyle w:val="a6"/>
        <w:numPr>
          <w:ilvl w:val="0"/>
          <w:numId w:val="4"/>
        </w:numPr>
        <w:tabs>
          <w:tab w:val="right" w:pos="567"/>
        </w:tabs>
        <w:bidi w:val="0"/>
        <w:spacing w:after="0" w:line="240" w:lineRule="auto"/>
        <w:ind w:left="0" w:firstLine="0"/>
        <w:jc w:val="both"/>
        <w:rPr>
          <w:rFonts w:asciiTheme="majorBidi" w:hAnsiTheme="majorBidi" w:cstheme="majorBidi"/>
          <w:sz w:val="24"/>
          <w:szCs w:val="24"/>
          <w:lang w:bidi="ar-IQ"/>
        </w:rPr>
      </w:pPr>
      <w:bookmarkStart w:id="4" w:name="_Ref337286604"/>
      <w:r w:rsidRPr="00861683">
        <w:rPr>
          <w:rFonts w:asciiTheme="majorBidi" w:hAnsiTheme="majorBidi" w:cstheme="majorBidi"/>
          <w:sz w:val="24"/>
          <w:szCs w:val="24"/>
          <w:lang w:bidi="ar-IQ"/>
        </w:rPr>
        <w:t>Public Health Agency of Canada. Canadian Tuberculosis Standards. 6 ed.</w:t>
      </w:r>
      <w:bookmarkEnd w:id="4"/>
      <w:r w:rsidRPr="00861683">
        <w:rPr>
          <w:rFonts w:asciiTheme="majorBidi" w:hAnsiTheme="majorBidi" w:cstheme="majorBidi"/>
          <w:sz w:val="24"/>
          <w:szCs w:val="24"/>
          <w:lang w:bidi="ar-IQ"/>
        </w:rPr>
        <w:t xml:space="preserve"> 2007.</w:t>
      </w:r>
    </w:p>
    <w:p w:rsidR="000312AC" w:rsidRPr="00861683" w:rsidRDefault="000312AC" w:rsidP="00861683">
      <w:pPr>
        <w:pStyle w:val="a6"/>
        <w:numPr>
          <w:ilvl w:val="0"/>
          <w:numId w:val="4"/>
        </w:numPr>
        <w:tabs>
          <w:tab w:val="right" w:pos="567"/>
        </w:tabs>
        <w:bidi w:val="0"/>
        <w:spacing w:after="0" w:line="240" w:lineRule="auto"/>
        <w:ind w:left="0" w:firstLine="0"/>
        <w:jc w:val="both"/>
        <w:rPr>
          <w:rFonts w:asciiTheme="majorBidi" w:hAnsiTheme="majorBidi" w:cstheme="majorBidi"/>
          <w:sz w:val="24"/>
          <w:szCs w:val="24"/>
          <w:lang w:bidi="ar-IQ"/>
        </w:rPr>
      </w:pPr>
      <w:bookmarkStart w:id="5" w:name="_Ref337286617"/>
      <w:r w:rsidRPr="00861683">
        <w:rPr>
          <w:rFonts w:asciiTheme="majorBidi" w:hAnsiTheme="majorBidi" w:cstheme="majorBidi"/>
          <w:sz w:val="24"/>
          <w:szCs w:val="24"/>
          <w:lang w:bidi="ar-IQ"/>
        </w:rPr>
        <w:t xml:space="preserve">I.M.  Mackay, K.E. Arden, and A </w:t>
      </w:r>
      <w:proofErr w:type="spellStart"/>
      <w:r w:rsidRPr="00861683">
        <w:rPr>
          <w:rFonts w:asciiTheme="majorBidi" w:hAnsiTheme="majorBidi" w:cstheme="majorBidi"/>
          <w:sz w:val="24"/>
          <w:szCs w:val="24"/>
          <w:lang w:bidi="ar-IQ"/>
        </w:rPr>
        <w:t>Nitsche</w:t>
      </w:r>
      <w:proofErr w:type="spellEnd"/>
      <w:r w:rsidRPr="00861683">
        <w:rPr>
          <w:rFonts w:asciiTheme="majorBidi" w:hAnsiTheme="majorBidi" w:cstheme="majorBidi"/>
          <w:sz w:val="24"/>
          <w:szCs w:val="24"/>
          <w:lang w:bidi="ar-IQ"/>
        </w:rPr>
        <w:t>. Real-time PCR in virology</w:t>
      </w:r>
      <w:r w:rsidRPr="00861683">
        <w:rPr>
          <w:rFonts w:asciiTheme="majorBidi" w:hAnsiTheme="majorBidi" w:cstheme="majorBidi"/>
          <w:i/>
          <w:iCs/>
          <w:sz w:val="24"/>
          <w:szCs w:val="24"/>
          <w:lang w:bidi="ar-IQ"/>
        </w:rPr>
        <w:t>. Nucleic Acids Res, 30,</w:t>
      </w:r>
      <w:r w:rsidRPr="00861683">
        <w:rPr>
          <w:rFonts w:asciiTheme="majorBidi" w:hAnsiTheme="majorBidi" w:cstheme="majorBidi"/>
          <w:sz w:val="24"/>
          <w:szCs w:val="24"/>
          <w:lang w:bidi="ar-IQ"/>
        </w:rPr>
        <w:t xml:space="preserve"> 2002, 1292-305.</w:t>
      </w:r>
      <w:bookmarkEnd w:id="5"/>
    </w:p>
    <w:p w:rsidR="000312AC" w:rsidRPr="00861683" w:rsidRDefault="000312AC" w:rsidP="00861683">
      <w:pPr>
        <w:pStyle w:val="a6"/>
        <w:numPr>
          <w:ilvl w:val="0"/>
          <w:numId w:val="4"/>
        </w:numPr>
        <w:tabs>
          <w:tab w:val="right" w:pos="567"/>
          <w:tab w:val="right" w:pos="709"/>
        </w:tabs>
        <w:bidi w:val="0"/>
        <w:spacing w:after="0" w:line="240" w:lineRule="auto"/>
        <w:ind w:left="0" w:firstLine="0"/>
        <w:jc w:val="both"/>
        <w:rPr>
          <w:rFonts w:asciiTheme="majorBidi" w:hAnsiTheme="majorBidi" w:cstheme="majorBidi"/>
          <w:sz w:val="24"/>
          <w:szCs w:val="24"/>
          <w:lang w:bidi="ar-IQ"/>
        </w:rPr>
      </w:pPr>
      <w:bookmarkStart w:id="6" w:name="_Ref337286635"/>
      <w:r w:rsidRPr="00861683">
        <w:rPr>
          <w:rFonts w:asciiTheme="majorBidi" w:hAnsiTheme="majorBidi" w:cstheme="majorBidi"/>
          <w:sz w:val="24"/>
          <w:szCs w:val="24"/>
          <w:lang w:bidi="ar-IQ"/>
        </w:rPr>
        <w:t xml:space="preserve">S.K. </w:t>
      </w:r>
      <w:proofErr w:type="spellStart"/>
      <w:r w:rsidRPr="00861683">
        <w:rPr>
          <w:rFonts w:asciiTheme="majorBidi" w:hAnsiTheme="majorBidi" w:cstheme="majorBidi"/>
          <w:sz w:val="24"/>
          <w:szCs w:val="24"/>
          <w:lang w:bidi="ar-IQ"/>
        </w:rPr>
        <w:t>Garg</w:t>
      </w:r>
      <w:proofErr w:type="spellEnd"/>
      <w:r w:rsidRPr="00861683">
        <w:rPr>
          <w:rFonts w:asciiTheme="majorBidi" w:hAnsiTheme="majorBidi" w:cstheme="majorBidi"/>
          <w:sz w:val="24"/>
          <w:szCs w:val="24"/>
          <w:lang w:bidi="ar-IQ"/>
        </w:rPr>
        <w:t xml:space="preserve">, R.P. Tiwari, and D. Tiwari. Diagnosis of tuberculosis: Available technologies, limitations, and possibilities. </w:t>
      </w:r>
      <w:r w:rsidRPr="00861683">
        <w:rPr>
          <w:rFonts w:asciiTheme="majorBidi" w:hAnsiTheme="majorBidi" w:cstheme="majorBidi"/>
          <w:i/>
          <w:iCs/>
          <w:sz w:val="24"/>
          <w:szCs w:val="24"/>
          <w:lang w:bidi="ar-IQ"/>
        </w:rPr>
        <w:t xml:space="preserve">J </w:t>
      </w:r>
      <w:proofErr w:type="spellStart"/>
      <w:r w:rsidRPr="00861683">
        <w:rPr>
          <w:rFonts w:asciiTheme="majorBidi" w:hAnsiTheme="majorBidi" w:cstheme="majorBidi"/>
          <w:i/>
          <w:iCs/>
          <w:sz w:val="24"/>
          <w:szCs w:val="24"/>
          <w:lang w:bidi="ar-IQ"/>
        </w:rPr>
        <w:t>Clin</w:t>
      </w:r>
      <w:proofErr w:type="spellEnd"/>
      <w:r w:rsidRPr="00861683">
        <w:rPr>
          <w:rFonts w:asciiTheme="majorBidi" w:hAnsiTheme="majorBidi" w:cstheme="majorBidi"/>
          <w:i/>
          <w:iCs/>
          <w:sz w:val="24"/>
          <w:szCs w:val="24"/>
          <w:lang w:bidi="ar-IQ"/>
        </w:rPr>
        <w:t xml:space="preserve"> Lab Anal, 17(5)</w:t>
      </w:r>
      <w:r w:rsidRPr="00861683">
        <w:rPr>
          <w:rFonts w:asciiTheme="majorBidi" w:hAnsiTheme="majorBidi" w:cstheme="majorBidi"/>
          <w:sz w:val="24"/>
          <w:szCs w:val="24"/>
          <w:lang w:bidi="ar-IQ"/>
        </w:rPr>
        <w:t>, 2003,155–163.</w:t>
      </w:r>
      <w:bookmarkEnd w:id="6"/>
    </w:p>
    <w:p w:rsidR="000312AC" w:rsidRPr="00861683" w:rsidRDefault="000312AC" w:rsidP="00861683">
      <w:pPr>
        <w:pStyle w:val="a6"/>
        <w:numPr>
          <w:ilvl w:val="0"/>
          <w:numId w:val="4"/>
        </w:numPr>
        <w:tabs>
          <w:tab w:val="right" w:pos="567"/>
        </w:tabs>
        <w:autoSpaceDE w:val="0"/>
        <w:autoSpaceDN w:val="0"/>
        <w:bidi w:val="0"/>
        <w:adjustRightInd w:val="0"/>
        <w:spacing w:after="0" w:line="240" w:lineRule="auto"/>
        <w:ind w:left="0" w:firstLine="0"/>
        <w:jc w:val="both"/>
        <w:rPr>
          <w:rFonts w:asciiTheme="majorBidi" w:hAnsiTheme="majorBidi" w:cstheme="majorBidi"/>
          <w:sz w:val="24"/>
          <w:szCs w:val="24"/>
          <w:lang w:bidi="ar-IQ"/>
        </w:rPr>
      </w:pPr>
      <w:bookmarkStart w:id="7" w:name="_Ref337286645"/>
      <w:r w:rsidRPr="00861683">
        <w:rPr>
          <w:rFonts w:asciiTheme="majorBidi" w:hAnsiTheme="majorBidi" w:cstheme="majorBidi"/>
          <w:sz w:val="24"/>
          <w:szCs w:val="24"/>
          <w:lang w:bidi="ar-IQ"/>
        </w:rPr>
        <w:t>CDC, Report of Verified Case of Tuberculosis (RVCT), Instruction Manual, Appendix A, Tuberculosis Case Definition for Public Health Surveillance, 2009,137.</w:t>
      </w:r>
      <w:bookmarkEnd w:id="7"/>
    </w:p>
    <w:p w:rsidR="000312AC" w:rsidRPr="00861683" w:rsidRDefault="000312AC" w:rsidP="00861683">
      <w:pPr>
        <w:pStyle w:val="a6"/>
        <w:numPr>
          <w:ilvl w:val="0"/>
          <w:numId w:val="4"/>
        </w:numPr>
        <w:tabs>
          <w:tab w:val="right" w:pos="567"/>
        </w:tabs>
        <w:bidi w:val="0"/>
        <w:spacing w:after="0" w:line="240" w:lineRule="auto"/>
        <w:ind w:left="0" w:firstLine="0"/>
        <w:jc w:val="both"/>
        <w:rPr>
          <w:rFonts w:asciiTheme="majorBidi" w:hAnsiTheme="majorBidi" w:cstheme="majorBidi"/>
          <w:sz w:val="24"/>
          <w:szCs w:val="24"/>
        </w:rPr>
      </w:pPr>
      <w:bookmarkStart w:id="8" w:name="_Ref337286660"/>
      <w:r w:rsidRPr="00861683">
        <w:rPr>
          <w:rFonts w:asciiTheme="majorBidi" w:hAnsiTheme="majorBidi" w:cstheme="majorBidi"/>
          <w:sz w:val="24"/>
          <w:szCs w:val="24"/>
        </w:rPr>
        <w:t xml:space="preserve">W. Winn, S. Allen, W. </w:t>
      </w:r>
      <w:proofErr w:type="spellStart"/>
      <w:r w:rsidRPr="00861683">
        <w:rPr>
          <w:rFonts w:asciiTheme="majorBidi" w:hAnsiTheme="majorBidi" w:cstheme="majorBidi"/>
          <w:sz w:val="24"/>
          <w:szCs w:val="24"/>
        </w:rPr>
        <w:t>Janda</w:t>
      </w:r>
      <w:proofErr w:type="spellEnd"/>
      <w:r w:rsidRPr="00861683">
        <w:rPr>
          <w:rFonts w:asciiTheme="majorBidi" w:hAnsiTheme="majorBidi" w:cstheme="majorBidi"/>
          <w:sz w:val="24"/>
          <w:szCs w:val="24"/>
        </w:rPr>
        <w:t xml:space="preserve">, E. </w:t>
      </w:r>
      <w:proofErr w:type="spellStart"/>
      <w:r w:rsidRPr="00861683">
        <w:rPr>
          <w:rFonts w:asciiTheme="majorBidi" w:hAnsiTheme="majorBidi" w:cstheme="majorBidi"/>
          <w:sz w:val="24"/>
          <w:szCs w:val="24"/>
        </w:rPr>
        <w:t>Koneman</w:t>
      </w:r>
      <w:proofErr w:type="spellEnd"/>
      <w:r w:rsidRPr="00861683">
        <w:rPr>
          <w:rFonts w:asciiTheme="majorBidi" w:hAnsiTheme="majorBidi" w:cstheme="majorBidi"/>
          <w:sz w:val="24"/>
          <w:szCs w:val="24"/>
        </w:rPr>
        <w:t xml:space="preserve">  , G. </w:t>
      </w:r>
      <w:proofErr w:type="spellStart"/>
      <w:r w:rsidRPr="00861683">
        <w:rPr>
          <w:rFonts w:asciiTheme="majorBidi" w:hAnsiTheme="majorBidi" w:cstheme="majorBidi"/>
          <w:sz w:val="24"/>
          <w:szCs w:val="24"/>
        </w:rPr>
        <w:t>Procop</w:t>
      </w:r>
      <w:proofErr w:type="spellEnd"/>
      <w:r w:rsidRPr="00861683">
        <w:rPr>
          <w:rFonts w:asciiTheme="majorBidi" w:hAnsiTheme="majorBidi" w:cstheme="majorBidi"/>
          <w:sz w:val="24"/>
          <w:szCs w:val="24"/>
        </w:rPr>
        <w:t xml:space="preserve">, P. </w:t>
      </w:r>
      <w:proofErr w:type="spellStart"/>
      <w:r w:rsidRPr="00861683">
        <w:rPr>
          <w:rFonts w:asciiTheme="majorBidi" w:hAnsiTheme="majorBidi" w:cstheme="majorBidi"/>
          <w:sz w:val="24"/>
          <w:szCs w:val="24"/>
        </w:rPr>
        <w:t>Schreckenberger</w:t>
      </w:r>
      <w:proofErr w:type="spellEnd"/>
      <w:r w:rsidRPr="00861683">
        <w:rPr>
          <w:rFonts w:asciiTheme="majorBidi" w:hAnsiTheme="majorBidi" w:cstheme="majorBidi"/>
          <w:sz w:val="24"/>
          <w:szCs w:val="24"/>
        </w:rPr>
        <w:t xml:space="preserve"> and G. Woods. </w:t>
      </w:r>
      <w:proofErr w:type="spellStart"/>
      <w:r w:rsidRPr="00861683">
        <w:rPr>
          <w:rFonts w:asciiTheme="majorBidi" w:hAnsiTheme="majorBidi" w:cstheme="majorBidi"/>
          <w:i/>
          <w:iCs/>
          <w:sz w:val="24"/>
          <w:szCs w:val="24"/>
        </w:rPr>
        <w:t>Koneman's</w:t>
      </w:r>
      <w:proofErr w:type="spellEnd"/>
      <w:r w:rsidRPr="00861683">
        <w:rPr>
          <w:rFonts w:asciiTheme="majorBidi" w:hAnsiTheme="majorBidi" w:cstheme="majorBidi"/>
          <w:i/>
          <w:iCs/>
          <w:sz w:val="24"/>
          <w:szCs w:val="24"/>
        </w:rPr>
        <w:t xml:space="preserve"> color atlas and textbook of diagnostic microbiology</w:t>
      </w:r>
      <w:r w:rsidRPr="00861683">
        <w:rPr>
          <w:rFonts w:asciiTheme="majorBidi" w:hAnsiTheme="majorBidi" w:cstheme="majorBidi"/>
          <w:sz w:val="24"/>
          <w:szCs w:val="24"/>
        </w:rPr>
        <w:t xml:space="preserve"> (6</w:t>
      </w:r>
      <w:r w:rsidRPr="00861683">
        <w:rPr>
          <w:rFonts w:asciiTheme="majorBidi" w:hAnsiTheme="majorBidi" w:cstheme="majorBidi"/>
          <w:sz w:val="24"/>
          <w:szCs w:val="24"/>
          <w:vertAlign w:val="superscript"/>
        </w:rPr>
        <w:t>th</w:t>
      </w:r>
      <w:r w:rsidRPr="00861683">
        <w:rPr>
          <w:rFonts w:asciiTheme="majorBidi" w:hAnsiTheme="majorBidi" w:cstheme="majorBidi"/>
          <w:sz w:val="24"/>
          <w:szCs w:val="24"/>
        </w:rPr>
        <w:t xml:space="preserve"> edition) (Lippincott Williams &amp; Wilkins, 2006) 1073.</w:t>
      </w:r>
      <w:bookmarkEnd w:id="8"/>
    </w:p>
    <w:p w:rsidR="000312AC" w:rsidRPr="00861683" w:rsidRDefault="000312AC" w:rsidP="00861683">
      <w:pPr>
        <w:pStyle w:val="a6"/>
        <w:numPr>
          <w:ilvl w:val="0"/>
          <w:numId w:val="4"/>
        </w:numPr>
        <w:tabs>
          <w:tab w:val="right" w:pos="567"/>
        </w:tabs>
        <w:bidi w:val="0"/>
        <w:spacing w:after="0" w:line="240" w:lineRule="auto"/>
        <w:ind w:left="0" w:firstLine="0"/>
        <w:jc w:val="both"/>
        <w:rPr>
          <w:rFonts w:asciiTheme="majorBidi" w:hAnsiTheme="majorBidi" w:cstheme="majorBidi"/>
          <w:sz w:val="24"/>
          <w:szCs w:val="24"/>
        </w:rPr>
      </w:pPr>
      <w:bookmarkStart w:id="9" w:name="_Ref337286671"/>
      <w:r w:rsidRPr="00861683">
        <w:rPr>
          <w:rFonts w:asciiTheme="majorBidi" w:hAnsiTheme="majorBidi" w:cstheme="majorBidi"/>
          <w:sz w:val="24"/>
          <w:szCs w:val="24"/>
          <w:lang w:bidi="ar-IQ"/>
        </w:rPr>
        <w:t>World Health Organization</w:t>
      </w:r>
      <w:r w:rsidRPr="00861683">
        <w:rPr>
          <w:rFonts w:asciiTheme="majorBidi" w:hAnsiTheme="majorBidi" w:cstheme="majorBidi"/>
          <w:sz w:val="24"/>
          <w:szCs w:val="24"/>
        </w:rPr>
        <w:t>, laboratory services in tuberculosis control microscopy part II, 1998,23-24.</w:t>
      </w:r>
      <w:bookmarkEnd w:id="9"/>
    </w:p>
    <w:p w:rsidR="000312AC" w:rsidRPr="00861683" w:rsidRDefault="000312AC" w:rsidP="00861683">
      <w:pPr>
        <w:pStyle w:val="a6"/>
        <w:numPr>
          <w:ilvl w:val="0"/>
          <w:numId w:val="4"/>
        </w:numPr>
        <w:tabs>
          <w:tab w:val="right" w:pos="567"/>
        </w:tabs>
        <w:bidi w:val="0"/>
        <w:spacing w:after="0" w:line="240" w:lineRule="auto"/>
        <w:ind w:left="0" w:firstLine="0"/>
        <w:jc w:val="both"/>
        <w:rPr>
          <w:rFonts w:asciiTheme="majorBidi" w:hAnsiTheme="majorBidi" w:cstheme="majorBidi"/>
          <w:sz w:val="24"/>
          <w:szCs w:val="24"/>
          <w:lang w:bidi="ar-IQ"/>
        </w:rPr>
      </w:pPr>
      <w:bookmarkStart w:id="10" w:name="_Ref337286728"/>
      <w:r w:rsidRPr="00861683">
        <w:rPr>
          <w:rFonts w:asciiTheme="majorBidi" w:hAnsiTheme="majorBidi" w:cstheme="majorBidi"/>
          <w:sz w:val="24"/>
          <w:szCs w:val="24"/>
        </w:rPr>
        <w:t>Standards unit evaluations and standards laboratory, Investigation of specimens for mycobacterium species. The Health Protection Agency, UK. Issue no: 5 , 2006, 19.</w:t>
      </w:r>
      <w:bookmarkEnd w:id="10"/>
      <w:r w:rsidRPr="00861683">
        <w:rPr>
          <w:rFonts w:asciiTheme="majorBidi" w:hAnsiTheme="majorBidi" w:cstheme="majorBidi"/>
          <w:sz w:val="24"/>
          <w:szCs w:val="24"/>
        </w:rPr>
        <w:t xml:space="preserve">   </w:t>
      </w:r>
    </w:p>
    <w:p w:rsidR="000312AC" w:rsidRPr="00861683" w:rsidRDefault="000312AC" w:rsidP="00861683">
      <w:pPr>
        <w:pStyle w:val="a6"/>
        <w:numPr>
          <w:ilvl w:val="0"/>
          <w:numId w:val="4"/>
        </w:numPr>
        <w:tabs>
          <w:tab w:val="right" w:pos="567"/>
        </w:tabs>
        <w:bidi w:val="0"/>
        <w:spacing w:after="0" w:line="240" w:lineRule="auto"/>
        <w:ind w:left="0" w:firstLine="0"/>
        <w:jc w:val="both"/>
        <w:rPr>
          <w:rFonts w:asciiTheme="majorBidi" w:hAnsiTheme="majorBidi" w:cstheme="majorBidi"/>
          <w:sz w:val="24"/>
          <w:szCs w:val="24"/>
        </w:rPr>
      </w:pPr>
      <w:bookmarkStart w:id="11" w:name="_Ref337286758"/>
      <w:r w:rsidRPr="00861683">
        <w:rPr>
          <w:rFonts w:asciiTheme="majorBidi" w:hAnsiTheme="majorBidi" w:cstheme="majorBidi"/>
          <w:sz w:val="24"/>
          <w:szCs w:val="24"/>
        </w:rPr>
        <w:t xml:space="preserve">R.P.C. Rodgers, Clinical laboratory methods for detecting of </w:t>
      </w:r>
      <w:r w:rsidRPr="00861683">
        <w:rPr>
          <w:rFonts w:asciiTheme="majorBidi" w:hAnsiTheme="majorBidi" w:cstheme="majorBidi"/>
          <w:sz w:val="24"/>
          <w:szCs w:val="24"/>
        </w:rPr>
        <w:lastRenderedPageBreak/>
        <w:t xml:space="preserve">antigens and antibodies, In </w:t>
      </w:r>
      <w:proofErr w:type="spellStart"/>
      <w:r w:rsidRPr="00861683">
        <w:rPr>
          <w:rFonts w:asciiTheme="majorBidi" w:hAnsiTheme="majorBidi" w:cstheme="majorBidi"/>
          <w:sz w:val="24"/>
          <w:szCs w:val="24"/>
        </w:rPr>
        <w:t>Stites</w:t>
      </w:r>
      <w:proofErr w:type="spellEnd"/>
      <w:r w:rsidRPr="00861683">
        <w:rPr>
          <w:rFonts w:asciiTheme="majorBidi" w:hAnsiTheme="majorBidi" w:cstheme="majorBidi"/>
          <w:sz w:val="24"/>
          <w:szCs w:val="24"/>
        </w:rPr>
        <w:t xml:space="preserve">, </w:t>
      </w:r>
      <w:proofErr w:type="spellStart"/>
      <w:r w:rsidRPr="00861683">
        <w:rPr>
          <w:rFonts w:asciiTheme="majorBidi" w:hAnsiTheme="majorBidi" w:cstheme="majorBidi"/>
          <w:sz w:val="24"/>
          <w:szCs w:val="24"/>
        </w:rPr>
        <w:t>Terr</w:t>
      </w:r>
      <w:proofErr w:type="spellEnd"/>
      <w:r w:rsidRPr="00861683">
        <w:rPr>
          <w:rFonts w:asciiTheme="majorBidi" w:hAnsiTheme="majorBidi" w:cstheme="majorBidi"/>
          <w:sz w:val="24"/>
          <w:szCs w:val="24"/>
        </w:rPr>
        <w:t xml:space="preserve"> D.P. and </w:t>
      </w:r>
      <w:proofErr w:type="spellStart"/>
      <w:r w:rsidRPr="00861683">
        <w:rPr>
          <w:rFonts w:asciiTheme="majorBidi" w:hAnsiTheme="majorBidi" w:cstheme="majorBidi"/>
          <w:sz w:val="24"/>
          <w:szCs w:val="24"/>
        </w:rPr>
        <w:t>Parslow</w:t>
      </w:r>
      <w:proofErr w:type="spellEnd"/>
      <w:r w:rsidRPr="00861683">
        <w:rPr>
          <w:rFonts w:asciiTheme="majorBidi" w:hAnsiTheme="majorBidi" w:cstheme="majorBidi"/>
          <w:sz w:val="24"/>
          <w:szCs w:val="24"/>
        </w:rPr>
        <w:t xml:space="preserve"> T.G. </w:t>
      </w:r>
      <w:r w:rsidRPr="00861683">
        <w:rPr>
          <w:rFonts w:asciiTheme="majorBidi" w:hAnsiTheme="majorBidi" w:cstheme="majorBidi"/>
          <w:i/>
          <w:iCs/>
          <w:sz w:val="24"/>
          <w:szCs w:val="24"/>
        </w:rPr>
        <w:t>Basic &amp; clinical immunology</w:t>
      </w:r>
      <w:r w:rsidRPr="00861683">
        <w:rPr>
          <w:rFonts w:asciiTheme="majorBidi" w:hAnsiTheme="majorBidi" w:cstheme="majorBidi"/>
          <w:sz w:val="24"/>
          <w:szCs w:val="24"/>
        </w:rPr>
        <w:t>, 18 (London , Prentice-Hall International, 1994) 151-194.</w:t>
      </w:r>
      <w:bookmarkEnd w:id="11"/>
      <w:r w:rsidRPr="00861683">
        <w:rPr>
          <w:rFonts w:asciiTheme="majorBidi" w:hAnsiTheme="majorBidi" w:cstheme="majorBidi"/>
          <w:sz w:val="24"/>
          <w:szCs w:val="24"/>
        </w:rPr>
        <w:t xml:space="preserve"> </w:t>
      </w:r>
    </w:p>
    <w:p w:rsidR="000312AC" w:rsidRPr="00861683" w:rsidRDefault="000312AC" w:rsidP="00861683">
      <w:pPr>
        <w:pStyle w:val="a6"/>
        <w:numPr>
          <w:ilvl w:val="0"/>
          <w:numId w:val="4"/>
        </w:numPr>
        <w:tabs>
          <w:tab w:val="right" w:pos="567"/>
        </w:tabs>
        <w:bidi w:val="0"/>
        <w:spacing w:after="0" w:line="240" w:lineRule="auto"/>
        <w:ind w:left="0" w:firstLine="0"/>
        <w:jc w:val="both"/>
        <w:rPr>
          <w:rFonts w:asciiTheme="majorBidi" w:hAnsiTheme="majorBidi" w:cstheme="majorBidi"/>
          <w:sz w:val="24"/>
          <w:szCs w:val="24"/>
          <w:lang w:bidi="ar-IQ"/>
        </w:rPr>
      </w:pPr>
      <w:bookmarkStart w:id="12" w:name="_Ref337286778"/>
      <w:r w:rsidRPr="00861683">
        <w:rPr>
          <w:rFonts w:asciiTheme="majorBidi" w:hAnsiTheme="majorBidi" w:cstheme="majorBidi"/>
          <w:sz w:val="24"/>
          <w:szCs w:val="24"/>
          <w:lang w:bidi="ar-IQ"/>
        </w:rPr>
        <w:t xml:space="preserve">K. Kim, H. Lee, and MK Lee. Development and application of </w:t>
      </w:r>
      <w:proofErr w:type="spellStart"/>
      <w:r w:rsidRPr="00861683">
        <w:rPr>
          <w:rFonts w:asciiTheme="majorBidi" w:hAnsiTheme="majorBidi" w:cstheme="majorBidi"/>
          <w:sz w:val="24"/>
          <w:szCs w:val="24"/>
          <w:lang w:bidi="ar-IQ"/>
        </w:rPr>
        <w:t>multiprobe</w:t>
      </w:r>
      <w:proofErr w:type="spellEnd"/>
      <w:r w:rsidRPr="00861683">
        <w:rPr>
          <w:rFonts w:asciiTheme="majorBidi" w:hAnsiTheme="majorBidi" w:cstheme="majorBidi"/>
          <w:sz w:val="24"/>
          <w:szCs w:val="24"/>
          <w:lang w:bidi="ar-IQ"/>
        </w:rPr>
        <w:t xml:space="preserve"> </w:t>
      </w:r>
      <w:proofErr w:type="spellStart"/>
      <w:r w:rsidRPr="00861683">
        <w:rPr>
          <w:rFonts w:asciiTheme="majorBidi" w:hAnsiTheme="majorBidi" w:cstheme="majorBidi"/>
          <w:sz w:val="24"/>
          <w:szCs w:val="24"/>
          <w:lang w:bidi="ar-IQ"/>
        </w:rPr>
        <w:t>realtime</w:t>
      </w:r>
      <w:proofErr w:type="spellEnd"/>
      <w:r w:rsidRPr="00861683">
        <w:rPr>
          <w:rFonts w:asciiTheme="majorBidi" w:hAnsiTheme="majorBidi" w:cstheme="majorBidi"/>
          <w:sz w:val="24"/>
          <w:szCs w:val="24"/>
          <w:lang w:bidi="ar-IQ"/>
        </w:rPr>
        <w:t xml:space="preserve"> PCR method targeting the hsp65 gene for differentiation of Mycobacterium species from isolates and sputum specimens. </w:t>
      </w:r>
      <w:r w:rsidRPr="00861683">
        <w:rPr>
          <w:rFonts w:asciiTheme="majorBidi" w:hAnsiTheme="majorBidi" w:cstheme="majorBidi"/>
          <w:i/>
          <w:iCs/>
          <w:sz w:val="24"/>
          <w:szCs w:val="24"/>
          <w:lang w:bidi="ar-IQ"/>
        </w:rPr>
        <w:t xml:space="preserve">J </w:t>
      </w:r>
      <w:proofErr w:type="spellStart"/>
      <w:r w:rsidRPr="00861683">
        <w:rPr>
          <w:rFonts w:asciiTheme="majorBidi" w:hAnsiTheme="majorBidi" w:cstheme="majorBidi"/>
          <w:i/>
          <w:iCs/>
          <w:sz w:val="24"/>
          <w:szCs w:val="24"/>
          <w:lang w:bidi="ar-IQ"/>
        </w:rPr>
        <w:t>Clin</w:t>
      </w:r>
      <w:proofErr w:type="spellEnd"/>
      <w:r w:rsidRPr="00861683">
        <w:rPr>
          <w:rFonts w:asciiTheme="majorBidi" w:hAnsiTheme="majorBidi" w:cstheme="majorBidi"/>
          <w:i/>
          <w:iCs/>
          <w:sz w:val="24"/>
          <w:szCs w:val="24"/>
          <w:lang w:bidi="ar-IQ"/>
        </w:rPr>
        <w:t xml:space="preserve"> </w:t>
      </w:r>
      <w:proofErr w:type="spellStart"/>
      <w:r w:rsidRPr="00861683">
        <w:rPr>
          <w:rFonts w:asciiTheme="majorBidi" w:hAnsiTheme="majorBidi" w:cstheme="majorBidi"/>
          <w:i/>
          <w:iCs/>
          <w:sz w:val="24"/>
          <w:szCs w:val="24"/>
          <w:lang w:bidi="ar-IQ"/>
        </w:rPr>
        <w:t>Microbiol</w:t>
      </w:r>
      <w:proofErr w:type="spellEnd"/>
      <w:r w:rsidRPr="00861683">
        <w:rPr>
          <w:rFonts w:asciiTheme="majorBidi" w:hAnsiTheme="majorBidi" w:cstheme="majorBidi"/>
          <w:i/>
          <w:iCs/>
          <w:sz w:val="24"/>
          <w:szCs w:val="24"/>
          <w:lang w:bidi="ar-IQ"/>
        </w:rPr>
        <w:t>, 48 (9),</w:t>
      </w:r>
      <w:r w:rsidRPr="00861683">
        <w:rPr>
          <w:rFonts w:asciiTheme="majorBidi" w:hAnsiTheme="majorBidi" w:cstheme="majorBidi"/>
          <w:sz w:val="24"/>
          <w:szCs w:val="24"/>
          <w:lang w:bidi="ar-IQ"/>
        </w:rPr>
        <w:t xml:space="preserve"> 2010, 3073-80.</w:t>
      </w:r>
      <w:bookmarkEnd w:id="12"/>
    </w:p>
    <w:p w:rsidR="000312AC" w:rsidRPr="00861683" w:rsidRDefault="000312AC" w:rsidP="00861683">
      <w:pPr>
        <w:pStyle w:val="a6"/>
        <w:numPr>
          <w:ilvl w:val="0"/>
          <w:numId w:val="4"/>
        </w:numPr>
        <w:tabs>
          <w:tab w:val="right" w:pos="567"/>
        </w:tabs>
        <w:bidi w:val="0"/>
        <w:spacing w:after="0" w:line="240" w:lineRule="auto"/>
        <w:ind w:left="0" w:firstLine="0"/>
        <w:jc w:val="both"/>
        <w:rPr>
          <w:rFonts w:asciiTheme="majorBidi" w:hAnsiTheme="majorBidi" w:cstheme="majorBidi"/>
          <w:sz w:val="24"/>
          <w:szCs w:val="24"/>
          <w:lang w:bidi="ar-IQ"/>
        </w:rPr>
      </w:pPr>
      <w:bookmarkStart w:id="13" w:name="_Ref337286788"/>
      <w:r w:rsidRPr="00861683">
        <w:rPr>
          <w:rFonts w:asciiTheme="majorBidi" w:hAnsiTheme="majorBidi" w:cstheme="majorBidi"/>
          <w:sz w:val="24"/>
          <w:szCs w:val="24"/>
          <w:lang w:bidi="ar-IQ"/>
        </w:rPr>
        <w:t xml:space="preserve">M. Inoue, W.Y.  Tang, S.Y. Wee, and T. </w:t>
      </w:r>
      <w:proofErr w:type="spellStart"/>
      <w:r w:rsidRPr="00861683">
        <w:rPr>
          <w:rFonts w:asciiTheme="majorBidi" w:hAnsiTheme="majorBidi" w:cstheme="majorBidi"/>
          <w:sz w:val="24"/>
          <w:szCs w:val="24"/>
          <w:lang w:bidi="ar-IQ"/>
        </w:rPr>
        <w:t>Barkham</w:t>
      </w:r>
      <w:proofErr w:type="spellEnd"/>
      <w:r w:rsidRPr="00861683">
        <w:rPr>
          <w:rFonts w:asciiTheme="majorBidi" w:hAnsiTheme="majorBidi" w:cstheme="majorBidi"/>
          <w:sz w:val="24"/>
          <w:szCs w:val="24"/>
          <w:lang w:bidi="ar-IQ"/>
        </w:rPr>
        <w:t xml:space="preserve">. Audit and improve! Evaluation of a real-time probe-based PCR assay with internal control for the direct detection of </w:t>
      </w:r>
      <w:r w:rsidRPr="00861683">
        <w:rPr>
          <w:rFonts w:asciiTheme="majorBidi" w:hAnsiTheme="majorBidi" w:cstheme="majorBidi"/>
          <w:i/>
          <w:iCs/>
          <w:sz w:val="24"/>
          <w:szCs w:val="24"/>
          <w:lang w:bidi="ar-IQ"/>
        </w:rPr>
        <w:t xml:space="preserve">Mycobacterium tuberculosis </w:t>
      </w:r>
      <w:r w:rsidRPr="00861683">
        <w:rPr>
          <w:rFonts w:asciiTheme="majorBidi" w:hAnsiTheme="majorBidi" w:cstheme="majorBidi"/>
          <w:sz w:val="24"/>
          <w:szCs w:val="24"/>
          <w:lang w:bidi="ar-IQ"/>
        </w:rPr>
        <w:t xml:space="preserve">complex. </w:t>
      </w:r>
      <w:proofErr w:type="spellStart"/>
      <w:r w:rsidRPr="00861683">
        <w:rPr>
          <w:rFonts w:asciiTheme="majorBidi" w:hAnsiTheme="majorBidi" w:cstheme="majorBidi"/>
          <w:i/>
          <w:iCs/>
          <w:sz w:val="24"/>
          <w:szCs w:val="24"/>
          <w:lang w:bidi="ar-IQ"/>
        </w:rPr>
        <w:t>Eur</w:t>
      </w:r>
      <w:proofErr w:type="spellEnd"/>
      <w:r w:rsidRPr="00861683">
        <w:rPr>
          <w:rFonts w:asciiTheme="majorBidi" w:hAnsiTheme="majorBidi" w:cstheme="majorBidi"/>
          <w:i/>
          <w:iCs/>
          <w:sz w:val="24"/>
          <w:szCs w:val="24"/>
          <w:lang w:bidi="ar-IQ"/>
        </w:rPr>
        <w:t xml:space="preserve"> J </w:t>
      </w:r>
      <w:proofErr w:type="spellStart"/>
      <w:r w:rsidRPr="00861683">
        <w:rPr>
          <w:rFonts w:asciiTheme="majorBidi" w:hAnsiTheme="majorBidi" w:cstheme="majorBidi"/>
          <w:i/>
          <w:iCs/>
          <w:sz w:val="24"/>
          <w:szCs w:val="24"/>
          <w:lang w:bidi="ar-IQ"/>
        </w:rPr>
        <w:t>Clin</w:t>
      </w:r>
      <w:proofErr w:type="spellEnd"/>
      <w:r w:rsidRPr="00861683">
        <w:rPr>
          <w:rFonts w:asciiTheme="majorBidi" w:hAnsiTheme="majorBidi" w:cstheme="majorBidi"/>
          <w:i/>
          <w:iCs/>
          <w:sz w:val="24"/>
          <w:szCs w:val="24"/>
          <w:lang w:bidi="ar-IQ"/>
        </w:rPr>
        <w:t xml:space="preserve"> </w:t>
      </w:r>
      <w:proofErr w:type="spellStart"/>
      <w:r w:rsidRPr="00861683">
        <w:rPr>
          <w:rFonts w:asciiTheme="majorBidi" w:hAnsiTheme="majorBidi" w:cstheme="majorBidi"/>
          <w:i/>
          <w:iCs/>
          <w:sz w:val="24"/>
          <w:szCs w:val="24"/>
          <w:lang w:bidi="ar-IQ"/>
        </w:rPr>
        <w:t>Microbiol</w:t>
      </w:r>
      <w:proofErr w:type="spellEnd"/>
      <w:r w:rsidRPr="00861683">
        <w:rPr>
          <w:rFonts w:asciiTheme="majorBidi" w:hAnsiTheme="majorBidi" w:cstheme="majorBidi"/>
          <w:i/>
          <w:iCs/>
          <w:sz w:val="24"/>
          <w:szCs w:val="24"/>
          <w:lang w:bidi="ar-IQ"/>
        </w:rPr>
        <w:t xml:space="preserve"> Infect Dis,30</w:t>
      </w:r>
      <w:r w:rsidRPr="00861683">
        <w:rPr>
          <w:rFonts w:asciiTheme="majorBidi" w:hAnsiTheme="majorBidi" w:cstheme="majorBidi"/>
          <w:sz w:val="24"/>
          <w:szCs w:val="24"/>
          <w:lang w:bidi="ar-IQ"/>
        </w:rPr>
        <w:t>, 2011, 131–135.</w:t>
      </w:r>
      <w:bookmarkEnd w:id="13"/>
    </w:p>
    <w:p w:rsidR="000312AC" w:rsidRPr="00861683" w:rsidRDefault="000312AC" w:rsidP="00861683">
      <w:pPr>
        <w:pStyle w:val="a6"/>
        <w:numPr>
          <w:ilvl w:val="0"/>
          <w:numId w:val="4"/>
        </w:numPr>
        <w:tabs>
          <w:tab w:val="right" w:pos="567"/>
          <w:tab w:val="right" w:pos="709"/>
        </w:tabs>
        <w:bidi w:val="0"/>
        <w:spacing w:after="0" w:line="240" w:lineRule="auto"/>
        <w:ind w:left="0" w:firstLine="0"/>
        <w:jc w:val="both"/>
        <w:rPr>
          <w:rFonts w:asciiTheme="majorBidi" w:hAnsiTheme="majorBidi" w:cstheme="majorBidi"/>
          <w:sz w:val="24"/>
          <w:szCs w:val="24"/>
          <w:lang w:bidi="ar-IQ"/>
        </w:rPr>
      </w:pPr>
      <w:bookmarkStart w:id="14" w:name="_Ref337286801"/>
      <w:r w:rsidRPr="00861683">
        <w:rPr>
          <w:rFonts w:asciiTheme="majorBidi" w:hAnsiTheme="majorBidi" w:cstheme="majorBidi"/>
          <w:sz w:val="24"/>
          <w:szCs w:val="24"/>
          <w:lang w:bidi="ar-IQ"/>
        </w:rPr>
        <w:t xml:space="preserve">G.L. Woods. The </w:t>
      </w:r>
      <w:proofErr w:type="spellStart"/>
      <w:r w:rsidRPr="00861683">
        <w:rPr>
          <w:rFonts w:asciiTheme="majorBidi" w:hAnsiTheme="majorBidi" w:cstheme="majorBidi"/>
          <w:sz w:val="24"/>
          <w:szCs w:val="24"/>
          <w:lang w:bidi="ar-IQ"/>
        </w:rPr>
        <w:t>mycobacteriology</w:t>
      </w:r>
      <w:proofErr w:type="spellEnd"/>
      <w:r w:rsidRPr="00861683">
        <w:rPr>
          <w:rFonts w:asciiTheme="majorBidi" w:hAnsiTheme="majorBidi" w:cstheme="majorBidi"/>
          <w:sz w:val="24"/>
          <w:szCs w:val="24"/>
          <w:lang w:bidi="ar-IQ"/>
        </w:rPr>
        <w:t xml:space="preserve"> laboratory and new diagnostic techniques. </w:t>
      </w:r>
      <w:r w:rsidRPr="00861683">
        <w:rPr>
          <w:rFonts w:asciiTheme="majorBidi" w:hAnsiTheme="majorBidi" w:cstheme="majorBidi"/>
          <w:i/>
          <w:iCs/>
          <w:sz w:val="24"/>
          <w:szCs w:val="24"/>
          <w:lang w:bidi="ar-IQ"/>
        </w:rPr>
        <w:t xml:space="preserve">Infect Dis </w:t>
      </w:r>
      <w:proofErr w:type="spellStart"/>
      <w:r w:rsidRPr="00861683">
        <w:rPr>
          <w:rFonts w:asciiTheme="majorBidi" w:hAnsiTheme="majorBidi" w:cstheme="majorBidi"/>
          <w:i/>
          <w:iCs/>
          <w:sz w:val="24"/>
          <w:szCs w:val="24"/>
          <w:lang w:bidi="ar-IQ"/>
        </w:rPr>
        <w:t>Clin</w:t>
      </w:r>
      <w:proofErr w:type="spellEnd"/>
      <w:r w:rsidRPr="00861683">
        <w:rPr>
          <w:rFonts w:asciiTheme="majorBidi" w:hAnsiTheme="majorBidi" w:cstheme="majorBidi"/>
          <w:i/>
          <w:iCs/>
          <w:sz w:val="24"/>
          <w:szCs w:val="24"/>
          <w:lang w:bidi="ar-IQ"/>
        </w:rPr>
        <w:t xml:space="preserve"> North Am, 16(1)</w:t>
      </w:r>
      <w:r w:rsidRPr="00861683">
        <w:rPr>
          <w:rFonts w:asciiTheme="majorBidi" w:hAnsiTheme="majorBidi" w:cstheme="majorBidi"/>
          <w:sz w:val="24"/>
          <w:szCs w:val="24"/>
          <w:lang w:bidi="ar-IQ"/>
        </w:rPr>
        <w:t>, 2002, 127–144.</w:t>
      </w:r>
      <w:bookmarkEnd w:id="14"/>
    </w:p>
    <w:p w:rsidR="000312AC" w:rsidRPr="00861683" w:rsidRDefault="000312AC" w:rsidP="00861683">
      <w:pPr>
        <w:pStyle w:val="a6"/>
        <w:numPr>
          <w:ilvl w:val="0"/>
          <w:numId w:val="4"/>
        </w:numPr>
        <w:tabs>
          <w:tab w:val="right" w:pos="567"/>
        </w:tabs>
        <w:bidi w:val="0"/>
        <w:spacing w:after="0" w:line="240" w:lineRule="auto"/>
        <w:ind w:left="0" w:firstLine="0"/>
        <w:jc w:val="both"/>
        <w:rPr>
          <w:rFonts w:asciiTheme="majorBidi" w:hAnsiTheme="majorBidi" w:cstheme="majorBidi"/>
          <w:sz w:val="24"/>
          <w:szCs w:val="24"/>
          <w:lang w:bidi="ar-IQ"/>
        </w:rPr>
      </w:pPr>
      <w:bookmarkStart w:id="15" w:name="_Ref337286814"/>
      <w:r w:rsidRPr="00861683">
        <w:rPr>
          <w:rFonts w:asciiTheme="majorBidi" w:hAnsiTheme="majorBidi" w:cstheme="majorBidi"/>
          <w:sz w:val="24"/>
          <w:szCs w:val="24"/>
          <w:lang w:bidi="ar-IQ"/>
        </w:rPr>
        <w:t xml:space="preserve">P. </w:t>
      </w:r>
      <w:proofErr w:type="spellStart"/>
      <w:r w:rsidRPr="00861683">
        <w:rPr>
          <w:rFonts w:asciiTheme="majorBidi" w:hAnsiTheme="majorBidi" w:cstheme="majorBidi"/>
          <w:sz w:val="24"/>
          <w:szCs w:val="24"/>
          <w:lang w:bidi="ar-IQ"/>
        </w:rPr>
        <w:t>Mathur</w:t>
      </w:r>
      <w:proofErr w:type="spellEnd"/>
      <w:r w:rsidRPr="00861683">
        <w:rPr>
          <w:rFonts w:asciiTheme="majorBidi" w:hAnsiTheme="majorBidi" w:cstheme="majorBidi"/>
          <w:sz w:val="24"/>
          <w:szCs w:val="24"/>
          <w:lang w:bidi="ar-IQ"/>
        </w:rPr>
        <w:t xml:space="preserve">, L. Sacks, and G </w:t>
      </w:r>
      <w:proofErr w:type="spellStart"/>
      <w:r w:rsidRPr="00861683">
        <w:rPr>
          <w:rFonts w:asciiTheme="majorBidi" w:hAnsiTheme="majorBidi" w:cstheme="majorBidi"/>
          <w:sz w:val="24"/>
          <w:szCs w:val="24"/>
          <w:lang w:bidi="ar-IQ"/>
        </w:rPr>
        <w:t>Auten</w:t>
      </w:r>
      <w:proofErr w:type="spellEnd"/>
      <w:r w:rsidRPr="00861683">
        <w:rPr>
          <w:rFonts w:asciiTheme="majorBidi" w:hAnsiTheme="majorBidi" w:cstheme="majorBidi"/>
          <w:sz w:val="24"/>
          <w:szCs w:val="24"/>
          <w:lang w:bidi="ar-IQ"/>
        </w:rPr>
        <w:t xml:space="preserve">. Delayed diagnosis of pulmonary tuberculosis in city hospitals. </w:t>
      </w:r>
      <w:r w:rsidRPr="00861683">
        <w:rPr>
          <w:rFonts w:asciiTheme="majorBidi" w:hAnsiTheme="majorBidi" w:cstheme="majorBidi"/>
          <w:i/>
          <w:iCs/>
          <w:sz w:val="24"/>
          <w:szCs w:val="24"/>
          <w:lang w:bidi="ar-IQ"/>
        </w:rPr>
        <w:t>Arch Intern Med, 154(3),</w:t>
      </w:r>
      <w:r w:rsidRPr="00861683">
        <w:rPr>
          <w:rFonts w:asciiTheme="majorBidi" w:hAnsiTheme="majorBidi" w:cstheme="majorBidi"/>
          <w:sz w:val="24"/>
          <w:szCs w:val="24"/>
          <w:lang w:bidi="ar-IQ"/>
        </w:rPr>
        <w:t xml:space="preserve"> 1994,306–310.</w:t>
      </w:r>
      <w:bookmarkEnd w:id="15"/>
    </w:p>
    <w:p w:rsidR="000312AC" w:rsidRPr="00861683" w:rsidRDefault="000312AC" w:rsidP="00861683">
      <w:pPr>
        <w:pStyle w:val="a6"/>
        <w:numPr>
          <w:ilvl w:val="0"/>
          <w:numId w:val="4"/>
        </w:numPr>
        <w:tabs>
          <w:tab w:val="right" w:pos="567"/>
        </w:tabs>
        <w:bidi w:val="0"/>
        <w:spacing w:after="0" w:line="240" w:lineRule="auto"/>
        <w:ind w:left="0" w:firstLine="0"/>
        <w:jc w:val="both"/>
        <w:rPr>
          <w:rFonts w:asciiTheme="majorBidi" w:hAnsiTheme="majorBidi" w:cstheme="majorBidi"/>
          <w:sz w:val="24"/>
          <w:szCs w:val="24"/>
          <w:lang w:bidi="ar-IQ"/>
        </w:rPr>
      </w:pPr>
      <w:bookmarkStart w:id="16" w:name="_Ref337286826"/>
      <w:r w:rsidRPr="00861683">
        <w:rPr>
          <w:rFonts w:asciiTheme="majorBidi" w:hAnsiTheme="majorBidi" w:cstheme="majorBidi"/>
          <w:sz w:val="24"/>
          <w:szCs w:val="24"/>
          <w:lang w:bidi="ar-IQ"/>
        </w:rPr>
        <w:t xml:space="preserve">G.T. </w:t>
      </w:r>
      <w:proofErr w:type="spellStart"/>
      <w:r w:rsidRPr="00861683">
        <w:rPr>
          <w:rFonts w:asciiTheme="majorBidi" w:hAnsiTheme="majorBidi" w:cstheme="majorBidi"/>
          <w:sz w:val="24"/>
          <w:szCs w:val="24"/>
          <w:lang w:bidi="ar-IQ"/>
        </w:rPr>
        <w:t>Noordhoek</w:t>
      </w:r>
      <w:proofErr w:type="spellEnd"/>
      <w:r w:rsidRPr="00861683">
        <w:rPr>
          <w:rFonts w:asciiTheme="majorBidi" w:hAnsiTheme="majorBidi" w:cstheme="majorBidi"/>
          <w:sz w:val="24"/>
          <w:szCs w:val="24"/>
          <w:lang w:bidi="ar-IQ"/>
        </w:rPr>
        <w:t xml:space="preserve">, A.H.J. </w:t>
      </w:r>
      <w:proofErr w:type="spellStart"/>
      <w:r w:rsidRPr="00861683">
        <w:rPr>
          <w:rFonts w:asciiTheme="majorBidi" w:hAnsiTheme="majorBidi" w:cstheme="majorBidi"/>
          <w:sz w:val="24"/>
          <w:szCs w:val="24"/>
          <w:lang w:bidi="ar-IQ"/>
        </w:rPr>
        <w:t>Kolk</w:t>
      </w:r>
      <w:proofErr w:type="spellEnd"/>
      <w:r w:rsidRPr="00861683">
        <w:rPr>
          <w:rFonts w:asciiTheme="majorBidi" w:hAnsiTheme="majorBidi" w:cstheme="majorBidi"/>
          <w:sz w:val="24"/>
          <w:szCs w:val="24"/>
          <w:lang w:bidi="ar-IQ"/>
        </w:rPr>
        <w:t xml:space="preserve">, G. D. </w:t>
      </w:r>
      <w:proofErr w:type="spellStart"/>
      <w:r w:rsidRPr="00861683">
        <w:rPr>
          <w:rFonts w:asciiTheme="majorBidi" w:hAnsiTheme="majorBidi" w:cstheme="majorBidi"/>
          <w:sz w:val="24"/>
          <w:szCs w:val="24"/>
          <w:lang w:bidi="ar-IQ"/>
        </w:rPr>
        <w:t>Bjune</w:t>
      </w:r>
      <w:proofErr w:type="spellEnd"/>
      <w:r w:rsidRPr="00861683">
        <w:rPr>
          <w:rFonts w:asciiTheme="majorBidi" w:hAnsiTheme="majorBidi" w:cstheme="majorBidi"/>
          <w:sz w:val="24"/>
          <w:szCs w:val="24"/>
          <w:lang w:bidi="ar-IQ"/>
        </w:rPr>
        <w:t>, D. Catty, J.W. Dale, P.E.M. Fine, P. Godfrey-</w:t>
      </w:r>
      <w:proofErr w:type="spellStart"/>
      <w:r w:rsidRPr="00861683">
        <w:rPr>
          <w:rFonts w:asciiTheme="majorBidi" w:hAnsiTheme="majorBidi" w:cstheme="majorBidi"/>
          <w:sz w:val="24"/>
          <w:szCs w:val="24"/>
          <w:lang w:bidi="ar-IQ"/>
        </w:rPr>
        <w:t>Fausset</w:t>
      </w:r>
      <w:proofErr w:type="spellEnd"/>
      <w:r w:rsidRPr="00861683">
        <w:rPr>
          <w:rFonts w:asciiTheme="majorBidi" w:hAnsiTheme="majorBidi" w:cstheme="majorBidi"/>
          <w:sz w:val="24"/>
          <w:szCs w:val="24"/>
          <w:lang w:bidi="ar-IQ"/>
        </w:rPr>
        <w:t xml:space="preserve">, S.N. Cho, T. </w:t>
      </w:r>
      <w:proofErr w:type="spellStart"/>
      <w:r w:rsidRPr="00861683">
        <w:rPr>
          <w:rFonts w:asciiTheme="majorBidi" w:hAnsiTheme="majorBidi" w:cstheme="majorBidi"/>
          <w:sz w:val="24"/>
          <w:szCs w:val="24"/>
          <w:lang w:bidi="ar-IQ"/>
        </w:rPr>
        <w:t>Shinnick</w:t>
      </w:r>
      <w:proofErr w:type="spellEnd"/>
      <w:r w:rsidRPr="00861683">
        <w:rPr>
          <w:rFonts w:asciiTheme="majorBidi" w:hAnsiTheme="majorBidi" w:cstheme="majorBidi"/>
          <w:sz w:val="24"/>
          <w:szCs w:val="24"/>
          <w:lang w:bidi="ar-IQ"/>
        </w:rPr>
        <w:t xml:space="preserve">, S.B. </w:t>
      </w:r>
      <w:proofErr w:type="spellStart"/>
      <w:r w:rsidRPr="00861683">
        <w:rPr>
          <w:rFonts w:asciiTheme="majorBidi" w:hAnsiTheme="majorBidi" w:cstheme="majorBidi"/>
          <w:sz w:val="24"/>
          <w:szCs w:val="24"/>
          <w:lang w:bidi="ar-IQ"/>
        </w:rPr>
        <w:t>Svenson</w:t>
      </w:r>
      <w:proofErr w:type="spellEnd"/>
      <w:r w:rsidRPr="00861683">
        <w:rPr>
          <w:rFonts w:asciiTheme="majorBidi" w:hAnsiTheme="majorBidi" w:cstheme="majorBidi"/>
          <w:sz w:val="24"/>
          <w:szCs w:val="24"/>
          <w:lang w:bidi="ar-IQ"/>
        </w:rPr>
        <w:t xml:space="preserve">, S. Wilson, and  J.D.A. Van </w:t>
      </w:r>
      <w:proofErr w:type="spellStart"/>
      <w:r w:rsidRPr="00861683">
        <w:rPr>
          <w:rFonts w:asciiTheme="majorBidi" w:hAnsiTheme="majorBidi" w:cstheme="majorBidi"/>
          <w:sz w:val="24"/>
          <w:szCs w:val="24"/>
          <w:lang w:bidi="ar-IQ"/>
        </w:rPr>
        <w:t>Embden</w:t>
      </w:r>
      <w:proofErr w:type="spellEnd"/>
      <w:r w:rsidRPr="00861683">
        <w:rPr>
          <w:rFonts w:asciiTheme="majorBidi" w:hAnsiTheme="majorBidi" w:cstheme="majorBidi"/>
          <w:sz w:val="24"/>
          <w:szCs w:val="24"/>
          <w:lang w:bidi="ar-IQ"/>
        </w:rPr>
        <w:t xml:space="preserve">. Sensitivity and specificity of PCR for detection of Mycobacterium tuberculosis: a blind comparison study among seven laboratories. </w:t>
      </w:r>
      <w:r w:rsidRPr="00861683">
        <w:rPr>
          <w:rFonts w:asciiTheme="majorBidi" w:hAnsiTheme="majorBidi" w:cstheme="majorBidi"/>
          <w:i/>
          <w:iCs/>
          <w:sz w:val="24"/>
          <w:szCs w:val="24"/>
          <w:lang w:bidi="ar-IQ"/>
        </w:rPr>
        <w:t>Journal of Clinical Microbiology, 32</w:t>
      </w:r>
      <w:r w:rsidRPr="00861683">
        <w:rPr>
          <w:rFonts w:asciiTheme="majorBidi" w:hAnsiTheme="majorBidi" w:cstheme="majorBidi"/>
          <w:sz w:val="24"/>
          <w:szCs w:val="24"/>
          <w:lang w:bidi="ar-IQ"/>
        </w:rPr>
        <w:t>, 1994, 277–284.</w:t>
      </w:r>
      <w:bookmarkEnd w:id="16"/>
      <w:r w:rsidRPr="00861683">
        <w:rPr>
          <w:rFonts w:asciiTheme="majorBidi" w:hAnsiTheme="majorBidi" w:cstheme="majorBidi"/>
          <w:sz w:val="24"/>
          <w:szCs w:val="24"/>
          <w:lang w:bidi="ar-IQ"/>
        </w:rPr>
        <w:t xml:space="preserve"> </w:t>
      </w:r>
    </w:p>
    <w:p w:rsidR="000312AC" w:rsidRPr="00861683" w:rsidRDefault="000312AC" w:rsidP="00861683">
      <w:pPr>
        <w:pStyle w:val="a6"/>
        <w:numPr>
          <w:ilvl w:val="0"/>
          <w:numId w:val="4"/>
        </w:numPr>
        <w:tabs>
          <w:tab w:val="right" w:pos="567"/>
        </w:tabs>
        <w:bidi w:val="0"/>
        <w:spacing w:after="0" w:line="240" w:lineRule="auto"/>
        <w:ind w:left="0" w:firstLine="0"/>
        <w:jc w:val="both"/>
        <w:rPr>
          <w:rFonts w:asciiTheme="majorBidi" w:hAnsiTheme="majorBidi" w:cstheme="majorBidi"/>
          <w:sz w:val="24"/>
          <w:szCs w:val="24"/>
          <w:lang w:bidi="ar-IQ"/>
        </w:rPr>
      </w:pPr>
      <w:bookmarkStart w:id="17" w:name="_Ref337286960"/>
      <w:r w:rsidRPr="00861683">
        <w:rPr>
          <w:rFonts w:asciiTheme="majorBidi" w:hAnsiTheme="majorBidi" w:cstheme="majorBidi"/>
          <w:sz w:val="24"/>
          <w:szCs w:val="24"/>
          <w:lang w:bidi="ar-IQ"/>
        </w:rPr>
        <w:t xml:space="preserve">D.I. Ling, L.L. Flores, and L.W. Riley. Commercial nucleic-acid amplification tests for diagnosis of pulmonary tuberculosis in respiratory specimens: Meta-analysis and meta-regression. </w:t>
      </w:r>
      <w:proofErr w:type="spellStart"/>
      <w:r w:rsidRPr="00861683">
        <w:rPr>
          <w:rFonts w:asciiTheme="majorBidi" w:hAnsiTheme="majorBidi" w:cstheme="majorBidi"/>
          <w:i/>
          <w:iCs/>
          <w:sz w:val="24"/>
          <w:szCs w:val="24"/>
          <w:lang w:bidi="ar-IQ"/>
        </w:rPr>
        <w:t>PLoS</w:t>
      </w:r>
      <w:proofErr w:type="spellEnd"/>
      <w:r w:rsidRPr="00861683">
        <w:rPr>
          <w:rFonts w:asciiTheme="majorBidi" w:hAnsiTheme="majorBidi" w:cstheme="majorBidi"/>
          <w:i/>
          <w:iCs/>
          <w:sz w:val="24"/>
          <w:szCs w:val="24"/>
          <w:lang w:bidi="ar-IQ"/>
        </w:rPr>
        <w:t xml:space="preserve"> One, 3(2),</w:t>
      </w:r>
      <w:r w:rsidRPr="00861683">
        <w:rPr>
          <w:rFonts w:asciiTheme="majorBidi" w:hAnsiTheme="majorBidi" w:cstheme="majorBidi"/>
          <w:sz w:val="24"/>
          <w:szCs w:val="24"/>
          <w:lang w:bidi="ar-IQ"/>
        </w:rPr>
        <w:t xml:space="preserve"> 2008,e1536.</w:t>
      </w:r>
      <w:bookmarkEnd w:id="17"/>
    </w:p>
    <w:p w:rsidR="000312AC" w:rsidRPr="00861683" w:rsidRDefault="000312AC" w:rsidP="00861683">
      <w:pPr>
        <w:pStyle w:val="a6"/>
        <w:numPr>
          <w:ilvl w:val="0"/>
          <w:numId w:val="4"/>
        </w:numPr>
        <w:tabs>
          <w:tab w:val="right" w:pos="567"/>
        </w:tabs>
        <w:bidi w:val="0"/>
        <w:spacing w:after="0" w:line="240" w:lineRule="auto"/>
        <w:ind w:left="0" w:firstLine="0"/>
        <w:jc w:val="both"/>
        <w:rPr>
          <w:rFonts w:asciiTheme="majorBidi" w:hAnsiTheme="majorBidi" w:cstheme="majorBidi"/>
          <w:sz w:val="24"/>
          <w:szCs w:val="24"/>
          <w:lang w:bidi="ar-IQ"/>
        </w:rPr>
      </w:pPr>
      <w:bookmarkStart w:id="18" w:name="_Ref337286970"/>
      <w:r w:rsidRPr="00861683">
        <w:rPr>
          <w:rFonts w:asciiTheme="majorBidi" w:hAnsiTheme="majorBidi" w:cstheme="majorBidi"/>
          <w:sz w:val="24"/>
          <w:szCs w:val="24"/>
          <w:lang w:bidi="ar-IQ"/>
        </w:rPr>
        <w:lastRenderedPageBreak/>
        <w:t xml:space="preserve">O.L. Sarmiento, K.A. </w:t>
      </w:r>
      <w:proofErr w:type="spellStart"/>
      <w:r w:rsidRPr="00861683">
        <w:rPr>
          <w:rFonts w:asciiTheme="majorBidi" w:hAnsiTheme="majorBidi" w:cstheme="majorBidi"/>
          <w:sz w:val="24"/>
          <w:szCs w:val="24"/>
          <w:lang w:bidi="ar-IQ"/>
        </w:rPr>
        <w:t>Weigle</w:t>
      </w:r>
      <w:proofErr w:type="spellEnd"/>
      <w:r w:rsidRPr="00861683">
        <w:rPr>
          <w:rFonts w:asciiTheme="majorBidi" w:hAnsiTheme="majorBidi" w:cstheme="majorBidi"/>
          <w:sz w:val="24"/>
          <w:szCs w:val="24"/>
          <w:lang w:bidi="ar-IQ"/>
        </w:rPr>
        <w:t xml:space="preserve">, and J. Alexander.  Assessment by meta-analysis of PCR for diagnosis of smear-negative pulmonary tuberculosis. </w:t>
      </w:r>
      <w:r w:rsidRPr="00861683">
        <w:rPr>
          <w:rFonts w:asciiTheme="majorBidi" w:hAnsiTheme="majorBidi" w:cstheme="majorBidi"/>
          <w:i/>
          <w:iCs/>
          <w:sz w:val="24"/>
          <w:szCs w:val="24"/>
          <w:lang w:bidi="ar-IQ"/>
        </w:rPr>
        <w:t xml:space="preserve">J </w:t>
      </w:r>
      <w:proofErr w:type="spellStart"/>
      <w:r w:rsidRPr="00861683">
        <w:rPr>
          <w:rFonts w:asciiTheme="majorBidi" w:hAnsiTheme="majorBidi" w:cstheme="majorBidi"/>
          <w:i/>
          <w:iCs/>
          <w:sz w:val="24"/>
          <w:szCs w:val="24"/>
          <w:lang w:bidi="ar-IQ"/>
        </w:rPr>
        <w:t>Clin</w:t>
      </w:r>
      <w:proofErr w:type="spellEnd"/>
      <w:r w:rsidRPr="00861683">
        <w:rPr>
          <w:rFonts w:asciiTheme="majorBidi" w:hAnsiTheme="majorBidi" w:cstheme="majorBidi"/>
          <w:i/>
          <w:iCs/>
          <w:sz w:val="24"/>
          <w:szCs w:val="24"/>
          <w:lang w:bidi="ar-IQ"/>
        </w:rPr>
        <w:t xml:space="preserve"> </w:t>
      </w:r>
      <w:proofErr w:type="spellStart"/>
      <w:r w:rsidRPr="00861683">
        <w:rPr>
          <w:rFonts w:asciiTheme="majorBidi" w:hAnsiTheme="majorBidi" w:cstheme="majorBidi"/>
          <w:i/>
          <w:iCs/>
          <w:sz w:val="24"/>
          <w:szCs w:val="24"/>
          <w:lang w:bidi="ar-IQ"/>
        </w:rPr>
        <w:t>Microbiol</w:t>
      </w:r>
      <w:proofErr w:type="spellEnd"/>
      <w:r w:rsidRPr="00861683">
        <w:rPr>
          <w:rFonts w:asciiTheme="majorBidi" w:hAnsiTheme="majorBidi" w:cstheme="majorBidi"/>
          <w:i/>
          <w:iCs/>
          <w:sz w:val="24"/>
          <w:szCs w:val="24"/>
          <w:lang w:bidi="ar-IQ"/>
        </w:rPr>
        <w:t>, 41(7)</w:t>
      </w:r>
      <w:r w:rsidRPr="00861683">
        <w:rPr>
          <w:rFonts w:asciiTheme="majorBidi" w:hAnsiTheme="majorBidi" w:cstheme="majorBidi"/>
          <w:sz w:val="24"/>
          <w:szCs w:val="24"/>
          <w:lang w:bidi="ar-IQ"/>
        </w:rPr>
        <w:t>, 2003, 3233–3240.</w:t>
      </w:r>
      <w:bookmarkEnd w:id="18"/>
    </w:p>
    <w:p w:rsidR="000312AC" w:rsidRPr="00861683" w:rsidRDefault="000312AC" w:rsidP="00861683">
      <w:pPr>
        <w:pStyle w:val="a6"/>
        <w:numPr>
          <w:ilvl w:val="0"/>
          <w:numId w:val="4"/>
        </w:numPr>
        <w:tabs>
          <w:tab w:val="right" w:pos="567"/>
        </w:tabs>
        <w:bidi w:val="0"/>
        <w:spacing w:after="0" w:line="240" w:lineRule="auto"/>
        <w:ind w:left="0" w:firstLine="0"/>
        <w:jc w:val="both"/>
        <w:rPr>
          <w:rFonts w:asciiTheme="majorBidi" w:hAnsiTheme="majorBidi" w:cstheme="majorBidi"/>
          <w:sz w:val="24"/>
          <w:szCs w:val="24"/>
          <w:lang w:bidi="ar-IQ"/>
        </w:rPr>
      </w:pPr>
      <w:bookmarkStart w:id="19" w:name="_Ref337286982"/>
      <w:r w:rsidRPr="00861683">
        <w:rPr>
          <w:rFonts w:asciiTheme="majorBidi" w:hAnsiTheme="majorBidi" w:cstheme="majorBidi"/>
          <w:sz w:val="24"/>
          <w:szCs w:val="24"/>
          <w:lang w:bidi="ar-IQ"/>
        </w:rPr>
        <w:t xml:space="preserve">S. Greco, E. </w:t>
      </w:r>
      <w:proofErr w:type="spellStart"/>
      <w:r w:rsidRPr="00861683">
        <w:rPr>
          <w:rFonts w:asciiTheme="majorBidi" w:hAnsiTheme="majorBidi" w:cstheme="majorBidi"/>
          <w:sz w:val="24"/>
          <w:szCs w:val="24"/>
          <w:lang w:bidi="ar-IQ"/>
        </w:rPr>
        <w:t>Girardi</w:t>
      </w:r>
      <w:proofErr w:type="spellEnd"/>
      <w:r w:rsidRPr="00861683">
        <w:rPr>
          <w:rFonts w:asciiTheme="majorBidi" w:hAnsiTheme="majorBidi" w:cstheme="majorBidi"/>
          <w:sz w:val="24"/>
          <w:szCs w:val="24"/>
          <w:lang w:bidi="ar-IQ"/>
        </w:rPr>
        <w:t xml:space="preserve">, A. Navarra, and C. </w:t>
      </w:r>
      <w:proofErr w:type="spellStart"/>
      <w:r w:rsidRPr="00861683">
        <w:rPr>
          <w:rFonts w:asciiTheme="majorBidi" w:hAnsiTheme="majorBidi" w:cstheme="majorBidi"/>
          <w:sz w:val="24"/>
          <w:szCs w:val="24"/>
          <w:lang w:bidi="ar-IQ"/>
        </w:rPr>
        <w:t>Saltini</w:t>
      </w:r>
      <w:proofErr w:type="spellEnd"/>
      <w:r w:rsidRPr="00861683">
        <w:rPr>
          <w:rFonts w:asciiTheme="majorBidi" w:hAnsiTheme="majorBidi" w:cstheme="majorBidi"/>
          <w:sz w:val="24"/>
          <w:szCs w:val="24"/>
          <w:lang w:bidi="ar-IQ"/>
        </w:rPr>
        <w:t xml:space="preserve">, Current evidence on diagnostic accuracy of commercially based nucleic acid amplification tests for the diagnosis of pulmonary tuberculosis. </w:t>
      </w:r>
      <w:r w:rsidRPr="00861683">
        <w:rPr>
          <w:rFonts w:asciiTheme="majorBidi" w:hAnsiTheme="majorBidi" w:cstheme="majorBidi"/>
          <w:i/>
          <w:iCs/>
          <w:sz w:val="24"/>
          <w:szCs w:val="24"/>
          <w:lang w:bidi="ar-IQ"/>
        </w:rPr>
        <w:t>Thorax; 61,</w:t>
      </w:r>
      <w:r w:rsidRPr="00861683">
        <w:rPr>
          <w:rFonts w:asciiTheme="majorBidi" w:hAnsiTheme="majorBidi" w:cstheme="majorBidi"/>
          <w:sz w:val="24"/>
          <w:szCs w:val="24"/>
          <w:lang w:bidi="ar-IQ"/>
        </w:rPr>
        <w:t xml:space="preserve"> 2006, 783–790.</w:t>
      </w:r>
      <w:bookmarkEnd w:id="19"/>
    </w:p>
    <w:p w:rsidR="000312AC" w:rsidRPr="00861683" w:rsidRDefault="000312AC" w:rsidP="00861683">
      <w:pPr>
        <w:pStyle w:val="a6"/>
        <w:numPr>
          <w:ilvl w:val="0"/>
          <w:numId w:val="4"/>
        </w:numPr>
        <w:tabs>
          <w:tab w:val="right" w:pos="567"/>
        </w:tabs>
        <w:bidi w:val="0"/>
        <w:spacing w:after="0" w:line="240" w:lineRule="auto"/>
        <w:ind w:left="0" w:firstLine="0"/>
        <w:jc w:val="both"/>
        <w:rPr>
          <w:rFonts w:asciiTheme="majorBidi" w:hAnsiTheme="majorBidi" w:cstheme="majorBidi"/>
          <w:sz w:val="24"/>
          <w:szCs w:val="24"/>
          <w:lang w:bidi="ar-IQ"/>
        </w:rPr>
      </w:pPr>
      <w:bookmarkStart w:id="20" w:name="_Ref337287382"/>
      <w:r w:rsidRPr="00861683">
        <w:rPr>
          <w:rFonts w:asciiTheme="majorBidi" w:hAnsiTheme="majorBidi" w:cstheme="majorBidi"/>
          <w:sz w:val="24"/>
          <w:szCs w:val="24"/>
          <w:lang w:bidi="ar-IQ"/>
        </w:rPr>
        <w:t xml:space="preserve">J. </w:t>
      </w:r>
      <w:proofErr w:type="spellStart"/>
      <w:r w:rsidRPr="00861683">
        <w:rPr>
          <w:rFonts w:asciiTheme="majorBidi" w:hAnsiTheme="majorBidi" w:cstheme="majorBidi"/>
          <w:sz w:val="24"/>
          <w:szCs w:val="24"/>
          <w:lang w:bidi="ar-IQ"/>
        </w:rPr>
        <w:t>Dinnes</w:t>
      </w:r>
      <w:proofErr w:type="spellEnd"/>
      <w:r w:rsidRPr="00861683">
        <w:rPr>
          <w:rFonts w:asciiTheme="majorBidi" w:hAnsiTheme="majorBidi" w:cstheme="majorBidi"/>
          <w:sz w:val="24"/>
          <w:szCs w:val="24"/>
          <w:lang w:bidi="ar-IQ"/>
        </w:rPr>
        <w:t xml:space="preserve">, J. </w:t>
      </w:r>
      <w:proofErr w:type="spellStart"/>
      <w:r w:rsidRPr="00861683">
        <w:rPr>
          <w:rFonts w:asciiTheme="majorBidi" w:hAnsiTheme="majorBidi" w:cstheme="majorBidi"/>
          <w:sz w:val="24"/>
          <w:szCs w:val="24"/>
          <w:lang w:bidi="ar-IQ"/>
        </w:rPr>
        <w:t>Deeks</w:t>
      </w:r>
      <w:proofErr w:type="spellEnd"/>
      <w:r w:rsidRPr="00861683">
        <w:rPr>
          <w:rFonts w:asciiTheme="majorBidi" w:hAnsiTheme="majorBidi" w:cstheme="majorBidi"/>
          <w:sz w:val="24"/>
          <w:szCs w:val="24"/>
          <w:lang w:bidi="ar-IQ"/>
        </w:rPr>
        <w:t xml:space="preserve">, H. </w:t>
      </w:r>
      <w:proofErr w:type="spellStart"/>
      <w:r w:rsidRPr="00861683">
        <w:rPr>
          <w:rFonts w:asciiTheme="majorBidi" w:hAnsiTheme="majorBidi" w:cstheme="majorBidi"/>
          <w:sz w:val="24"/>
          <w:szCs w:val="24"/>
          <w:lang w:bidi="ar-IQ"/>
        </w:rPr>
        <w:t>Kunst</w:t>
      </w:r>
      <w:proofErr w:type="spellEnd"/>
      <w:r w:rsidRPr="00861683">
        <w:rPr>
          <w:rFonts w:asciiTheme="majorBidi" w:hAnsiTheme="majorBidi" w:cstheme="majorBidi"/>
          <w:sz w:val="24"/>
          <w:szCs w:val="24"/>
          <w:lang w:bidi="ar-IQ"/>
        </w:rPr>
        <w:t xml:space="preserve">, A. Gibson, E. Cummins, and N. Waugh, A systematic review of rapid diagnostic tests for the detection of tuberculosis infection. </w:t>
      </w:r>
      <w:r w:rsidRPr="00861683">
        <w:rPr>
          <w:rFonts w:asciiTheme="majorBidi" w:hAnsiTheme="majorBidi" w:cstheme="majorBidi"/>
          <w:i/>
          <w:iCs/>
          <w:sz w:val="24"/>
          <w:szCs w:val="24"/>
          <w:lang w:bidi="ar-IQ"/>
        </w:rPr>
        <w:t xml:space="preserve">Health </w:t>
      </w:r>
      <w:proofErr w:type="spellStart"/>
      <w:r w:rsidRPr="00861683">
        <w:rPr>
          <w:rFonts w:asciiTheme="majorBidi" w:hAnsiTheme="majorBidi" w:cstheme="majorBidi"/>
          <w:i/>
          <w:iCs/>
          <w:sz w:val="24"/>
          <w:szCs w:val="24"/>
          <w:lang w:bidi="ar-IQ"/>
        </w:rPr>
        <w:t>Technol</w:t>
      </w:r>
      <w:proofErr w:type="spellEnd"/>
      <w:r w:rsidRPr="00861683">
        <w:rPr>
          <w:rFonts w:asciiTheme="majorBidi" w:hAnsiTheme="majorBidi" w:cstheme="majorBidi"/>
          <w:i/>
          <w:iCs/>
          <w:sz w:val="24"/>
          <w:szCs w:val="24"/>
          <w:lang w:bidi="ar-IQ"/>
        </w:rPr>
        <w:t xml:space="preserve"> Assess,11</w:t>
      </w:r>
      <w:r w:rsidRPr="00861683">
        <w:rPr>
          <w:rFonts w:asciiTheme="majorBidi" w:hAnsiTheme="majorBidi" w:cstheme="majorBidi"/>
          <w:sz w:val="24"/>
          <w:szCs w:val="24"/>
          <w:lang w:bidi="ar-IQ"/>
        </w:rPr>
        <w:t>, 2007,1-196.</w:t>
      </w:r>
      <w:bookmarkEnd w:id="20"/>
    </w:p>
    <w:p w:rsidR="000312AC" w:rsidRPr="00861683" w:rsidRDefault="000312AC" w:rsidP="00861683">
      <w:pPr>
        <w:pStyle w:val="a6"/>
        <w:numPr>
          <w:ilvl w:val="0"/>
          <w:numId w:val="4"/>
        </w:numPr>
        <w:tabs>
          <w:tab w:val="right" w:pos="567"/>
        </w:tabs>
        <w:bidi w:val="0"/>
        <w:spacing w:after="0" w:line="240" w:lineRule="auto"/>
        <w:ind w:left="0" w:firstLine="0"/>
        <w:jc w:val="both"/>
        <w:rPr>
          <w:rFonts w:asciiTheme="majorBidi" w:hAnsiTheme="majorBidi" w:cstheme="majorBidi"/>
          <w:sz w:val="24"/>
          <w:szCs w:val="24"/>
          <w:lang w:bidi="ar-IQ"/>
        </w:rPr>
      </w:pPr>
      <w:bookmarkStart w:id="21" w:name="_Ref337287506"/>
      <w:r w:rsidRPr="00861683">
        <w:rPr>
          <w:rFonts w:asciiTheme="majorBidi" w:hAnsiTheme="majorBidi" w:cstheme="majorBidi"/>
          <w:sz w:val="24"/>
          <w:szCs w:val="24"/>
          <w:lang w:bidi="ar-IQ"/>
        </w:rPr>
        <w:t xml:space="preserve">M.P. </w:t>
      </w:r>
      <w:proofErr w:type="spellStart"/>
      <w:r w:rsidRPr="00861683">
        <w:rPr>
          <w:rFonts w:asciiTheme="majorBidi" w:hAnsiTheme="majorBidi" w:cstheme="majorBidi"/>
          <w:sz w:val="24"/>
          <w:szCs w:val="24"/>
          <w:lang w:bidi="ar-IQ"/>
        </w:rPr>
        <w:t>Nicol</w:t>
      </w:r>
      <w:proofErr w:type="spellEnd"/>
      <w:r w:rsidRPr="00861683">
        <w:rPr>
          <w:rFonts w:asciiTheme="majorBidi" w:hAnsiTheme="majorBidi" w:cstheme="majorBidi"/>
          <w:sz w:val="24"/>
          <w:szCs w:val="24"/>
          <w:lang w:bidi="ar-IQ"/>
        </w:rPr>
        <w:t xml:space="preserve"> , and H.J. </w:t>
      </w:r>
      <w:proofErr w:type="spellStart"/>
      <w:r w:rsidRPr="00861683">
        <w:rPr>
          <w:rFonts w:asciiTheme="majorBidi" w:hAnsiTheme="majorBidi" w:cstheme="majorBidi"/>
          <w:sz w:val="24"/>
          <w:szCs w:val="24"/>
          <w:lang w:bidi="ar-IQ"/>
        </w:rPr>
        <w:t>Zar</w:t>
      </w:r>
      <w:proofErr w:type="spellEnd"/>
      <w:r w:rsidRPr="00861683">
        <w:rPr>
          <w:rFonts w:asciiTheme="majorBidi" w:hAnsiTheme="majorBidi" w:cstheme="majorBidi"/>
          <w:sz w:val="24"/>
          <w:szCs w:val="24"/>
          <w:lang w:bidi="ar-IQ"/>
        </w:rPr>
        <w:t xml:space="preserve">, New specimens and laboratory diagnostics for childhood pulmonary TB: progress and prospects. </w:t>
      </w:r>
      <w:r w:rsidRPr="00861683">
        <w:rPr>
          <w:rFonts w:asciiTheme="majorBidi" w:hAnsiTheme="majorBidi" w:cstheme="majorBidi"/>
          <w:i/>
          <w:iCs/>
          <w:sz w:val="24"/>
          <w:szCs w:val="24"/>
        </w:rPr>
        <w:t>Proc,</w:t>
      </w:r>
      <w:r w:rsidRPr="00861683">
        <w:rPr>
          <w:rFonts w:asciiTheme="majorBidi" w:hAnsiTheme="majorBidi" w:cstheme="majorBidi"/>
          <w:sz w:val="24"/>
          <w:szCs w:val="24"/>
          <w:lang w:bidi="ar-IQ"/>
        </w:rPr>
        <w:t xml:space="preserve"> </w:t>
      </w:r>
      <w:proofErr w:type="spellStart"/>
      <w:r w:rsidRPr="00861683">
        <w:rPr>
          <w:rFonts w:asciiTheme="majorBidi" w:hAnsiTheme="majorBidi" w:cstheme="majorBidi"/>
          <w:sz w:val="24"/>
          <w:szCs w:val="24"/>
          <w:lang w:bidi="ar-IQ"/>
        </w:rPr>
        <w:t>Paediatric</w:t>
      </w:r>
      <w:proofErr w:type="spellEnd"/>
      <w:r w:rsidRPr="00861683">
        <w:rPr>
          <w:rFonts w:asciiTheme="majorBidi" w:hAnsiTheme="majorBidi" w:cstheme="majorBidi"/>
          <w:sz w:val="24"/>
          <w:szCs w:val="24"/>
          <w:lang w:bidi="ar-IQ"/>
        </w:rPr>
        <w:t xml:space="preserve"> Respiratory Reviews.</w:t>
      </w:r>
      <w:bookmarkEnd w:id="21"/>
      <w:r w:rsidRPr="00861683">
        <w:rPr>
          <w:rFonts w:asciiTheme="majorBidi" w:hAnsiTheme="majorBidi" w:cstheme="majorBidi"/>
          <w:sz w:val="24"/>
          <w:szCs w:val="24"/>
          <w:lang w:bidi="ar-IQ"/>
        </w:rPr>
        <w:t xml:space="preserve"> 2010.</w:t>
      </w:r>
    </w:p>
    <w:p w:rsidR="000312AC" w:rsidRPr="00861683" w:rsidRDefault="000312AC" w:rsidP="00861683">
      <w:pPr>
        <w:pStyle w:val="a6"/>
        <w:numPr>
          <w:ilvl w:val="0"/>
          <w:numId w:val="4"/>
        </w:numPr>
        <w:tabs>
          <w:tab w:val="right" w:pos="567"/>
        </w:tabs>
        <w:bidi w:val="0"/>
        <w:spacing w:after="0" w:line="240" w:lineRule="auto"/>
        <w:ind w:left="0" w:firstLine="0"/>
        <w:jc w:val="both"/>
        <w:rPr>
          <w:rFonts w:asciiTheme="majorBidi" w:hAnsiTheme="majorBidi" w:cstheme="majorBidi"/>
          <w:sz w:val="24"/>
          <w:szCs w:val="24"/>
          <w:lang w:bidi="ar-IQ"/>
        </w:rPr>
      </w:pPr>
      <w:bookmarkStart w:id="22" w:name="_Ref337287533"/>
      <w:r w:rsidRPr="00861683">
        <w:rPr>
          <w:rFonts w:asciiTheme="majorBidi" w:hAnsiTheme="majorBidi" w:cstheme="majorBidi"/>
          <w:sz w:val="24"/>
          <w:szCs w:val="24"/>
          <w:lang w:bidi="ar-IQ"/>
        </w:rPr>
        <w:t xml:space="preserve">Y.J. Choi, H.J. Kim, H.B. Shin, H.S. Nam, S.H.  Lee, J.S. Park, K.S. Park, and K. A. </w:t>
      </w:r>
      <w:proofErr w:type="spellStart"/>
      <w:r w:rsidRPr="00861683">
        <w:rPr>
          <w:rFonts w:asciiTheme="majorBidi" w:hAnsiTheme="majorBidi" w:cstheme="majorBidi"/>
          <w:sz w:val="24"/>
          <w:szCs w:val="24"/>
          <w:lang w:bidi="ar-IQ"/>
        </w:rPr>
        <w:t>Baek</w:t>
      </w:r>
      <w:proofErr w:type="spellEnd"/>
      <w:r w:rsidRPr="00861683">
        <w:rPr>
          <w:rFonts w:asciiTheme="majorBidi" w:hAnsiTheme="majorBidi" w:cstheme="majorBidi"/>
          <w:sz w:val="24"/>
          <w:szCs w:val="24"/>
          <w:lang w:bidi="ar-IQ"/>
        </w:rPr>
        <w:t xml:space="preserve">, Evaluation of Peptide Nucleic Acid Probe-based Real-time PCR for Detection of </w:t>
      </w:r>
      <w:r w:rsidRPr="00861683">
        <w:rPr>
          <w:rFonts w:asciiTheme="majorBidi" w:hAnsiTheme="majorBidi" w:cstheme="majorBidi"/>
          <w:i/>
          <w:iCs/>
          <w:sz w:val="24"/>
          <w:szCs w:val="24"/>
          <w:lang w:bidi="ar-IQ"/>
        </w:rPr>
        <w:t xml:space="preserve">Mycobacterium tuberculosis </w:t>
      </w:r>
      <w:r w:rsidRPr="00861683">
        <w:rPr>
          <w:rFonts w:asciiTheme="majorBidi" w:hAnsiTheme="majorBidi" w:cstheme="majorBidi"/>
          <w:sz w:val="24"/>
          <w:szCs w:val="24"/>
          <w:lang w:bidi="ar-IQ"/>
        </w:rPr>
        <w:t xml:space="preserve">Complex and </w:t>
      </w:r>
      <w:proofErr w:type="spellStart"/>
      <w:r w:rsidRPr="00861683">
        <w:rPr>
          <w:rFonts w:asciiTheme="majorBidi" w:hAnsiTheme="majorBidi" w:cstheme="majorBidi"/>
          <w:sz w:val="24"/>
          <w:szCs w:val="24"/>
          <w:lang w:bidi="ar-IQ"/>
        </w:rPr>
        <w:t>Nontuberculous</w:t>
      </w:r>
      <w:proofErr w:type="spellEnd"/>
      <w:r w:rsidRPr="00861683">
        <w:rPr>
          <w:rFonts w:asciiTheme="majorBidi" w:hAnsiTheme="majorBidi" w:cstheme="majorBidi"/>
          <w:sz w:val="24"/>
          <w:szCs w:val="24"/>
          <w:lang w:bidi="ar-IQ"/>
        </w:rPr>
        <w:t xml:space="preserve"> </w:t>
      </w:r>
      <w:proofErr w:type="spellStart"/>
      <w:r w:rsidRPr="00861683">
        <w:rPr>
          <w:rFonts w:asciiTheme="majorBidi" w:hAnsiTheme="majorBidi" w:cstheme="majorBidi"/>
          <w:sz w:val="24"/>
          <w:szCs w:val="24"/>
          <w:lang w:bidi="ar-IQ"/>
        </w:rPr>
        <w:t>Mycobacteria</w:t>
      </w:r>
      <w:proofErr w:type="spellEnd"/>
      <w:r w:rsidRPr="00861683">
        <w:rPr>
          <w:rFonts w:asciiTheme="majorBidi" w:hAnsiTheme="majorBidi" w:cstheme="majorBidi"/>
          <w:sz w:val="24"/>
          <w:szCs w:val="24"/>
          <w:lang w:bidi="ar-IQ"/>
        </w:rPr>
        <w:t xml:space="preserve"> in Respiratory Specimens. </w:t>
      </w:r>
      <w:r w:rsidRPr="00861683">
        <w:rPr>
          <w:rFonts w:asciiTheme="majorBidi" w:hAnsiTheme="majorBidi" w:cstheme="majorBidi"/>
          <w:i/>
          <w:iCs/>
          <w:sz w:val="24"/>
          <w:szCs w:val="24"/>
          <w:lang w:bidi="ar-IQ"/>
        </w:rPr>
        <w:t>Ann Lab Med,32</w:t>
      </w:r>
      <w:r w:rsidRPr="00861683">
        <w:rPr>
          <w:rFonts w:asciiTheme="majorBidi" w:hAnsiTheme="majorBidi" w:cstheme="majorBidi"/>
          <w:sz w:val="24"/>
          <w:szCs w:val="24"/>
          <w:lang w:bidi="ar-IQ"/>
        </w:rPr>
        <w:t>, 2012,257-263.</w:t>
      </w:r>
      <w:bookmarkEnd w:id="22"/>
    </w:p>
    <w:p w:rsidR="000312AC" w:rsidRPr="00861683" w:rsidRDefault="000312AC" w:rsidP="00861683">
      <w:pPr>
        <w:pStyle w:val="a6"/>
        <w:numPr>
          <w:ilvl w:val="0"/>
          <w:numId w:val="4"/>
        </w:numPr>
        <w:tabs>
          <w:tab w:val="right" w:pos="567"/>
        </w:tabs>
        <w:bidi w:val="0"/>
        <w:spacing w:after="0" w:line="240" w:lineRule="auto"/>
        <w:ind w:left="0" w:firstLine="0"/>
        <w:jc w:val="both"/>
        <w:rPr>
          <w:rFonts w:asciiTheme="majorBidi" w:hAnsiTheme="majorBidi" w:cstheme="majorBidi"/>
          <w:sz w:val="24"/>
          <w:szCs w:val="24"/>
          <w:lang w:bidi="ar-IQ"/>
        </w:rPr>
      </w:pPr>
      <w:bookmarkStart w:id="23" w:name="_Ref337287635"/>
      <w:r w:rsidRPr="00861683">
        <w:rPr>
          <w:rFonts w:asciiTheme="majorBidi" w:hAnsiTheme="majorBidi" w:cstheme="majorBidi"/>
          <w:sz w:val="24"/>
          <w:szCs w:val="24"/>
          <w:lang w:bidi="ar-IQ"/>
        </w:rPr>
        <w:t xml:space="preserve">CDC, Diagnostic Standards and Classification of Tuberculosis in Adults and Children. </w:t>
      </w:r>
      <w:r w:rsidRPr="00861683">
        <w:rPr>
          <w:rFonts w:asciiTheme="majorBidi" w:hAnsiTheme="majorBidi" w:cstheme="majorBidi"/>
          <w:i/>
          <w:iCs/>
          <w:sz w:val="24"/>
          <w:szCs w:val="24"/>
          <w:lang w:bidi="ar-IQ"/>
        </w:rPr>
        <w:t xml:space="preserve">Am J </w:t>
      </w:r>
      <w:proofErr w:type="spellStart"/>
      <w:r w:rsidRPr="00861683">
        <w:rPr>
          <w:rFonts w:asciiTheme="majorBidi" w:hAnsiTheme="majorBidi" w:cstheme="majorBidi"/>
          <w:i/>
          <w:iCs/>
          <w:sz w:val="24"/>
          <w:szCs w:val="24"/>
          <w:lang w:bidi="ar-IQ"/>
        </w:rPr>
        <w:t>Respir</w:t>
      </w:r>
      <w:proofErr w:type="spellEnd"/>
      <w:r w:rsidRPr="00861683">
        <w:rPr>
          <w:rFonts w:asciiTheme="majorBidi" w:hAnsiTheme="majorBidi" w:cstheme="majorBidi"/>
          <w:i/>
          <w:iCs/>
          <w:sz w:val="24"/>
          <w:szCs w:val="24"/>
          <w:lang w:bidi="ar-IQ"/>
        </w:rPr>
        <w:t xml:space="preserve"> </w:t>
      </w:r>
      <w:proofErr w:type="spellStart"/>
      <w:r w:rsidRPr="00861683">
        <w:rPr>
          <w:rFonts w:asciiTheme="majorBidi" w:hAnsiTheme="majorBidi" w:cstheme="majorBidi"/>
          <w:i/>
          <w:iCs/>
          <w:sz w:val="24"/>
          <w:szCs w:val="24"/>
          <w:lang w:bidi="ar-IQ"/>
        </w:rPr>
        <w:t>Crit</w:t>
      </w:r>
      <w:proofErr w:type="spellEnd"/>
      <w:r w:rsidRPr="00861683">
        <w:rPr>
          <w:rFonts w:asciiTheme="majorBidi" w:hAnsiTheme="majorBidi" w:cstheme="majorBidi"/>
          <w:i/>
          <w:iCs/>
          <w:sz w:val="24"/>
          <w:szCs w:val="24"/>
          <w:lang w:bidi="ar-IQ"/>
        </w:rPr>
        <w:t xml:space="preserve"> </w:t>
      </w:r>
      <w:r w:rsidRPr="00861683">
        <w:rPr>
          <w:rFonts w:asciiTheme="majorBidi" w:hAnsiTheme="majorBidi" w:cstheme="majorBidi"/>
          <w:i/>
          <w:iCs/>
          <w:sz w:val="24"/>
          <w:szCs w:val="24"/>
          <w:lang w:bidi="ar-IQ"/>
        </w:rPr>
        <w:lastRenderedPageBreak/>
        <w:t>Care Med, 161(4 Pt 1)</w:t>
      </w:r>
      <w:r w:rsidRPr="00861683">
        <w:rPr>
          <w:rFonts w:asciiTheme="majorBidi" w:hAnsiTheme="majorBidi" w:cstheme="majorBidi"/>
          <w:sz w:val="24"/>
          <w:szCs w:val="24"/>
          <w:lang w:bidi="ar-IQ"/>
        </w:rPr>
        <w:t>, 2000,1376–1395.</w:t>
      </w:r>
      <w:bookmarkEnd w:id="23"/>
    </w:p>
    <w:p w:rsidR="000312AC" w:rsidRPr="00861683" w:rsidRDefault="000312AC" w:rsidP="00861683">
      <w:pPr>
        <w:pStyle w:val="a6"/>
        <w:numPr>
          <w:ilvl w:val="0"/>
          <w:numId w:val="4"/>
        </w:numPr>
        <w:tabs>
          <w:tab w:val="right" w:pos="567"/>
        </w:tabs>
        <w:bidi w:val="0"/>
        <w:spacing w:after="0" w:line="240" w:lineRule="auto"/>
        <w:ind w:left="0" w:firstLine="0"/>
        <w:jc w:val="both"/>
        <w:rPr>
          <w:rFonts w:asciiTheme="majorBidi" w:hAnsiTheme="majorBidi" w:cstheme="majorBidi"/>
          <w:sz w:val="24"/>
          <w:szCs w:val="24"/>
          <w:lang w:bidi="ar-IQ"/>
        </w:rPr>
      </w:pPr>
      <w:bookmarkStart w:id="24" w:name="_Ref337287660"/>
      <w:r w:rsidRPr="00861683">
        <w:rPr>
          <w:rFonts w:asciiTheme="majorBidi" w:hAnsiTheme="majorBidi" w:cstheme="majorBidi"/>
          <w:sz w:val="24"/>
          <w:szCs w:val="24"/>
          <w:lang w:bidi="ar-IQ"/>
        </w:rPr>
        <w:t xml:space="preserve">H. Levy, C. Feldman, and  H. </w:t>
      </w:r>
      <w:proofErr w:type="spellStart"/>
      <w:r w:rsidRPr="00861683">
        <w:rPr>
          <w:rFonts w:asciiTheme="majorBidi" w:hAnsiTheme="majorBidi" w:cstheme="majorBidi"/>
          <w:sz w:val="24"/>
          <w:szCs w:val="24"/>
          <w:lang w:bidi="ar-IQ"/>
        </w:rPr>
        <w:t>Sacho</w:t>
      </w:r>
      <w:proofErr w:type="spellEnd"/>
      <w:r w:rsidRPr="00861683">
        <w:rPr>
          <w:rFonts w:asciiTheme="majorBidi" w:hAnsiTheme="majorBidi" w:cstheme="majorBidi"/>
          <w:sz w:val="24"/>
          <w:szCs w:val="24"/>
          <w:lang w:bidi="ar-IQ"/>
        </w:rPr>
        <w:t xml:space="preserve">, A reevaluation of sputum microscopy and culture in the diagnosis of pulmonary tuberculosis. </w:t>
      </w:r>
      <w:r w:rsidRPr="00861683">
        <w:rPr>
          <w:rFonts w:asciiTheme="majorBidi" w:hAnsiTheme="majorBidi" w:cstheme="majorBidi"/>
          <w:i/>
          <w:iCs/>
          <w:sz w:val="24"/>
          <w:szCs w:val="24"/>
          <w:lang w:bidi="ar-IQ"/>
        </w:rPr>
        <w:t>Chest, 95(6)</w:t>
      </w:r>
      <w:r w:rsidRPr="00861683">
        <w:rPr>
          <w:rFonts w:asciiTheme="majorBidi" w:hAnsiTheme="majorBidi" w:cstheme="majorBidi"/>
          <w:sz w:val="24"/>
          <w:szCs w:val="24"/>
          <w:lang w:bidi="ar-IQ"/>
        </w:rPr>
        <w:t>, 1989, 1193–1197.</w:t>
      </w:r>
      <w:bookmarkEnd w:id="24"/>
    </w:p>
    <w:p w:rsidR="000312AC" w:rsidRPr="00861683" w:rsidRDefault="000312AC" w:rsidP="00861683">
      <w:pPr>
        <w:pStyle w:val="a6"/>
        <w:numPr>
          <w:ilvl w:val="0"/>
          <w:numId w:val="4"/>
        </w:numPr>
        <w:tabs>
          <w:tab w:val="right" w:pos="567"/>
        </w:tabs>
        <w:bidi w:val="0"/>
        <w:spacing w:after="0" w:line="240" w:lineRule="auto"/>
        <w:ind w:left="0" w:firstLine="0"/>
        <w:jc w:val="both"/>
        <w:rPr>
          <w:rFonts w:asciiTheme="majorBidi" w:hAnsiTheme="majorBidi" w:cstheme="majorBidi"/>
          <w:sz w:val="24"/>
          <w:szCs w:val="24"/>
          <w:lang w:bidi="ar-IQ"/>
        </w:rPr>
      </w:pPr>
      <w:bookmarkStart w:id="25" w:name="_Ref337287673"/>
      <w:r w:rsidRPr="00861683">
        <w:rPr>
          <w:rFonts w:asciiTheme="majorBidi" w:hAnsiTheme="majorBidi" w:cstheme="majorBidi"/>
          <w:sz w:val="24"/>
          <w:szCs w:val="24"/>
          <w:lang w:bidi="ar-IQ"/>
        </w:rPr>
        <w:t xml:space="preserve">J. </w:t>
      </w:r>
      <w:proofErr w:type="spellStart"/>
      <w:r w:rsidRPr="00861683">
        <w:rPr>
          <w:rFonts w:asciiTheme="majorBidi" w:hAnsiTheme="majorBidi" w:cstheme="majorBidi"/>
          <w:sz w:val="24"/>
          <w:szCs w:val="24"/>
          <w:lang w:bidi="ar-IQ"/>
        </w:rPr>
        <w:t>Almeda</w:t>
      </w:r>
      <w:proofErr w:type="spellEnd"/>
      <w:r w:rsidRPr="00861683">
        <w:rPr>
          <w:rFonts w:asciiTheme="majorBidi" w:hAnsiTheme="majorBidi" w:cstheme="majorBidi"/>
          <w:sz w:val="24"/>
          <w:szCs w:val="24"/>
          <w:lang w:bidi="ar-IQ"/>
        </w:rPr>
        <w:t xml:space="preserve">, A. </w:t>
      </w:r>
      <w:proofErr w:type="spellStart"/>
      <w:r w:rsidRPr="00861683">
        <w:rPr>
          <w:rFonts w:asciiTheme="majorBidi" w:hAnsiTheme="majorBidi" w:cstheme="majorBidi"/>
          <w:sz w:val="24"/>
          <w:szCs w:val="24"/>
          <w:lang w:bidi="ar-IQ"/>
        </w:rPr>
        <w:t>Garca</w:t>
      </w:r>
      <w:proofErr w:type="spellEnd"/>
      <w:r w:rsidRPr="00861683">
        <w:rPr>
          <w:rFonts w:asciiTheme="majorBidi" w:hAnsiTheme="majorBidi" w:cstheme="majorBidi"/>
          <w:sz w:val="24"/>
          <w:szCs w:val="24"/>
          <w:lang w:bidi="ar-IQ"/>
        </w:rPr>
        <w:t xml:space="preserve">, J. Gonzalez, L. </w:t>
      </w:r>
      <w:proofErr w:type="spellStart"/>
      <w:r w:rsidRPr="00861683">
        <w:rPr>
          <w:rFonts w:asciiTheme="majorBidi" w:hAnsiTheme="majorBidi" w:cstheme="majorBidi"/>
          <w:sz w:val="24"/>
          <w:szCs w:val="24"/>
          <w:lang w:bidi="ar-IQ"/>
        </w:rPr>
        <w:t>Quinto</w:t>
      </w:r>
      <w:proofErr w:type="spellEnd"/>
      <w:r w:rsidRPr="00861683">
        <w:rPr>
          <w:rFonts w:asciiTheme="majorBidi" w:hAnsiTheme="majorBidi" w:cstheme="majorBidi"/>
          <w:sz w:val="24"/>
          <w:szCs w:val="24"/>
          <w:lang w:bidi="ar-IQ"/>
        </w:rPr>
        <w:t xml:space="preserve">, P.J. Ventura, R. Vidal, G. </w:t>
      </w:r>
      <w:proofErr w:type="spellStart"/>
      <w:r w:rsidRPr="00861683">
        <w:rPr>
          <w:rFonts w:asciiTheme="majorBidi" w:hAnsiTheme="majorBidi" w:cstheme="majorBidi"/>
          <w:sz w:val="24"/>
          <w:szCs w:val="24"/>
          <w:lang w:bidi="ar-IQ"/>
        </w:rPr>
        <w:t>Rufi</w:t>
      </w:r>
      <w:proofErr w:type="spellEnd"/>
      <w:r w:rsidRPr="00861683">
        <w:rPr>
          <w:rFonts w:asciiTheme="majorBidi" w:hAnsiTheme="majorBidi" w:cstheme="majorBidi"/>
          <w:sz w:val="24"/>
          <w:szCs w:val="24"/>
          <w:lang w:bidi="ar-IQ"/>
        </w:rPr>
        <w:t xml:space="preserve">, J.A. Martinez, M.T. Jiménez de Anta, A. </w:t>
      </w:r>
      <w:proofErr w:type="spellStart"/>
      <w:r w:rsidRPr="00861683">
        <w:rPr>
          <w:rFonts w:asciiTheme="majorBidi" w:hAnsiTheme="majorBidi" w:cstheme="majorBidi"/>
          <w:sz w:val="24"/>
          <w:szCs w:val="24"/>
          <w:lang w:bidi="ar-IQ"/>
        </w:rPr>
        <w:t>Trilla</w:t>
      </w:r>
      <w:proofErr w:type="spellEnd"/>
      <w:r w:rsidRPr="00861683">
        <w:rPr>
          <w:rFonts w:asciiTheme="majorBidi" w:hAnsiTheme="majorBidi" w:cstheme="majorBidi"/>
          <w:sz w:val="24"/>
          <w:szCs w:val="24"/>
          <w:lang w:bidi="ar-IQ"/>
        </w:rPr>
        <w:t xml:space="preserve">, P.L. Alonso, Clinical Evaluation of an In-House IS6110 Polymerase Chain Reaction for Diagnosis of Tuberculosis. </w:t>
      </w:r>
      <w:proofErr w:type="spellStart"/>
      <w:r w:rsidRPr="00861683">
        <w:rPr>
          <w:rFonts w:asciiTheme="majorBidi" w:hAnsiTheme="majorBidi" w:cstheme="majorBidi"/>
          <w:i/>
          <w:iCs/>
          <w:sz w:val="24"/>
          <w:szCs w:val="24"/>
          <w:lang w:bidi="ar-IQ"/>
        </w:rPr>
        <w:t>Eur</w:t>
      </w:r>
      <w:proofErr w:type="spellEnd"/>
      <w:r w:rsidRPr="00861683">
        <w:rPr>
          <w:rFonts w:asciiTheme="majorBidi" w:hAnsiTheme="majorBidi" w:cstheme="majorBidi"/>
          <w:i/>
          <w:iCs/>
          <w:sz w:val="24"/>
          <w:szCs w:val="24"/>
          <w:lang w:bidi="ar-IQ"/>
        </w:rPr>
        <w:t xml:space="preserve"> J </w:t>
      </w:r>
      <w:proofErr w:type="spellStart"/>
      <w:r w:rsidRPr="00861683">
        <w:rPr>
          <w:rFonts w:asciiTheme="majorBidi" w:hAnsiTheme="majorBidi" w:cstheme="majorBidi"/>
          <w:i/>
          <w:iCs/>
          <w:sz w:val="24"/>
          <w:szCs w:val="24"/>
          <w:lang w:bidi="ar-IQ"/>
        </w:rPr>
        <w:t>Clin</w:t>
      </w:r>
      <w:proofErr w:type="spellEnd"/>
      <w:r w:rsidRPr="00861683">
        <w:rPr>
          <w:rFonts w:asciiTheme="majorBidi" w:hAnsiTheme="majorBidi" w:cstheme="majorBidi"/>
          <w:i/>
          <w:iCs/>
          <w:sz w:val="24"/>
          <w:szCs w:val="24"/>
          <w:lang w:bidi="ar-IQ"/>
        </w:rPr>
        <w:t xml:space="preserve"> </w:t>
      </w:r>
      <w:proofErr w:type="spellStart"/>
      <w:r w:rsidRPr="00861683">
        <w:rPr>
          <w:rFonts w:asciiTheme="majorBidi" w:hAnsiTheme="majorBidi" w:cstheme="majorBidi"/>
          <w:i/>
          <w:iCs/>
          <w:sz w:val="24"/>
          <w:szCs w:val="24"/>
          <w:lang w:bidi="ar-IQ"/>
        </w:rPr>
        <w:t>Microbiol</w:t>
      </w:r>
      <w:proofErr w:type="spellEnd"/>
      <w:r w:rsidRPr="00861683">
        <w:rPr>
          <w:rFonts w:asciiTheme="majorBidi" w:hAnsiTheme="majorBidi" w:cstheme="majorBidi"/>
          <w:i/>
          <w:iCs/>
          <w:sz w:val="24"/>
          <w:szCs w:val="24"/>
          <w:lang w:bidi="ar-IQ"/>
        </w:rPr>
        <w:t xml:space="preserve"> Infect </w:t>
      </w:r>
      <w:proofErr w:type="spellStart"/>
      <w:r w:rsidRPr="00861683">
        <w:rPr>
          <w:rFonts w:asciiTheme="majorBidi" w:hAnsiTheme="majorBidi" w:cstheme="majorBidi"/>
          <w:i/>
          <w:iCs/>
          <w:sz w:val="24"/>
          <w:szCs w:val="24"/>
          <w:lang w:bidi="ar-IQ"/>
        </w:rPr>
        <w:t>Dis</w:t>
      </w:r>
      <w:proofErr w:type="spellEnd"/>
      <w:r w:rsidRPr="00861683">
        <w:rPr>
          <w:rFonts w:asciiTheme="majorBidi" w:hAnsiTheme="majorBidi" w:cstheme="majorBidi"/>
          <w:i/>
          <w:iCs/>
          <w:sz w:val="24"/>
          <w:szCs w:val="24"/>
          <w:lang w:bidi="ar-IQ"/>
        </w:rPr>
        <w:t xml:space="preserve"> ,19 </w:t>
      </w:r>
      <w:r w:rsidRPr="00861683">
        <w:rPr>
          <w:rFonts w:asciiTheme="majorBidi" w:hAnsiTheme="majorBidi" w:cstheme="majorBidi"/>
          <w:sz w:val="24"/>
          <w:szCs w:val="24"/>
          <w:lang w:bidi="ar-IQ"/>
        </w:rPr>
        <w:t>, 2000, 859–867.</w:t>
      </w:r>
      <w:bookmarkEnd w:id="25"/>
    </w:p>
    <w:p w:rsidR="000312AC" w:rsidRPr="00861683" w:rsidRDefault="000312AC" w:rsidP="00861683">
      <w:pPr>
        <w:pStyle w:val="a6"/>
        <w:numPr>
          <w:ilvl w:val="0"/>
          <w:numId w:val="4"/>
        </w:numPr>
        <w:tabs>
          <w:tab w:val="right" w:pos="567"/>
        </w:tabs>
        <w:bidi w:val="0"/>
        <w:spacing w:after="0" w:line="240" w:lineRule="auto"/>
        <w:ind w:left="0" w:firstLine="0"/>
        <w:jc w:val="both"/>
        <w:rPr>
          <w:rFonts w:asciiTheme="majorBidi" w:hAnsiTheme="majorBidi" w:cstheme="majorBidi"/>
          <w:sz w:val="24"/>
          <w:szCs w:val="24"/>
          <w:lang w:bidi="ar-IQ"/>
        </w:rPr>
      </w:pPr>
      <w:bookmarkStart w:id="26" w:name="_Ref337287688"/>
      <w:r w:rsidRPr="00861683">
        <w:rPr>
          <w:rFonts w:asciiTheme="majorBidi" w:hAnsiTheme="majorBidi" w:cstheme="majorBidi"/>
          <w:sz w:val="24"/>
          <w:szCs w:val="24"/>
          <w:lang w:bidi="ar-IQ"/>
        </w:rPr>
        <w:t xml:space="preserve">Y. </w:t>
      </w:r>
      <w:proofErr w:type="spellStart"/>
      <w:r w:rsidRPr="00861683">
        <w:rPr>
          <w:rFonts w:asciiTheme="majorBidi" w:hAnsiTheme="majorBidi" w:cstheme="majorBidi"/>
          <w:sz w:val="24"/>
          <w:szCs w:val="24"/>
          <w:lang w:bidi="ar-IQ"/>
        </w:rPr>
        <w:t>Kalantri</w:t>
      </w:r>
      <w:proofErr w:type="spellEnd"/>
      <w:r w:rsidRPr="00861683">
        <w:rPr>
          <w:rFonts w:asciiTheme="majorBidi" w:hAnsiTheme="majorBidi" w:cstheme="majorBidi"/>
          <w:sz w:val="24"/>
          <w:szCs w:val="24"/>
          <w:lang w:bidi="ar-IQ"/>
        </w:rPr>
        <w:t xml:space="preserve">, N. </w:t>
      </w:r>
      <w:proofErr w:type="spellStart"/>
      <w:r w:rsidRPr="00861683">
        <w:rPr>
          <w:rFonts w:asciiTheme="majorBidi" w:hAnsiTheme="majorBidi" w:cstheme="majorBidi"/>
          <w:sz w:val="24"/>
          <w:szCs w:val="24"/>
          <w:lang w:bidi="ar-IQ"/>
        </w:rPr>
        <w:t>Hemvani</w:t>
      </w:r>
      <w:proofErr w:type="spellEnd"/>
      <w:r w:rsidRPr="00861683">
        <w:rPr>
          <w:rFonts w:asciiTheme="majorBidi" w:hAnsiTheme="majorBidi" w:cstheme="majorBidi"/>
          <w:sz w:val="24"/>
          <w:szCs w:val="24"/>
          <w:lang w:bidi="ar-IQ"/>
        </w:rPr>
        <w:t xml:space="preserve"> and  D.S. </w:t>
      </w:r>
      <w:proofErr w:type="spellStart"/>
      <w:r w:rsidRPr="00861683">
        <w:rPr>
          <w:rFonts w:asciiTheme="majorBidi" w:hAnsiTheme="majorBidi" w:cstheme="majorBidi"/>
          <w:sz w:val="24"/>
          <w:szCs w:val="24"/>
          <w:lang w:bidi="ar-IQ"/>
        </w:rPr>
        <w:t>Chitnis</w:t>
      </w:r>
      <w:proofErr w:type="spellEnd"/>
      <w:r w:rsidRPr="00861683">
        <w:rPr>
          <w:rFonts w:asciiTheme="majorBidi" w:hAnsiTheme="majorBidi" w:cstheme="majorBidi"/>
          <w:sz w:val="24"/>
          <w:szCs w:val="24"/>
          <w:lang w:bidi="ar-IQ"/>
        </w:rPr>
        <w:t xml:space="preserve">, Evaluation of real-time polymerase chain reaction, interferon-gamma, adenosine </w:t>
      </w:r>
      <w:proofErr w:type="spellStart"/>
      <w:r w:rsidRPr="00861683">
        <w:rPr>
          <w:rFonts w:asciiTheme="majorBidi" w:hAnsiTheme="majorBidi" w:cstheme="majorBidi"/>
          <w:sz w:val="24"/>
          <w:szCs w:val="24"/>
          <w:lang w:bidi="ar-IQ"/>
        </w:rPr>
        <w:t>deaminase</w:t>
      </w:r>
      <w:proofErr w:type="spellEnd"/>
      <w:r w:rsidRPr="00861683">
        <w:rPr>
          <w:rFonts w:asciiTheme="majorBidi" w:hAnsiTheme="majorBidi" w:cstheme="majorBidi"/>
          <w:sz w:val="24"/>
          <w:szCs w:val="24"/>
          <w:lang w:bidi="ar-IQ"/>
        </w:rPr>
        <w:t xml:space="preserve">, and immunoglobulin A for the efficient diagnosis of pleural tuberculosis. </w:t>
      </w:r>
      <w:r w:rsidRPr="00861683">
        <w:rPr>
          <w:rFonts w:asciiTheme="majorBidi" w:hAnsiTheme="majorBidi" w:cstheme="majorBidi"/>
          <w:i/>
          <w:iCs/>
          <w:sz w:val="24"/>
          <w:szCs w:val="24"/>
          <w:lang w:bidi="ar-IQ"/>
        </w:rPr>
        <w:t>International Journal of Infectious Diseases 15,</w:t>
      </w:r>
      <w:r w:rsidRPr="00861683">
        <w:rPr>
          <w:rFonts w:asciiTheme="majorBidi" w:hAnsiTheme="majorBidi" w:cstheme="majorBidi"/>
          <w:sz w:val="24"/>
          <w:szCs w:val="24"/>
          <w:lang w:bidi="ar-IQ"/>
        </w:rPr>
        <w:t xml:space="preserve"> 2011 , e226–e23.</w:t>
      </w:r>
      <w:bookmarkEnd w:id="26"/>
      <w:r w:rsidRPr="00861683">
        <w:rPr>
          <w:rFonts w:asciiTheme="majorBidi" w:hAnsiTheme="majorBidi" w:cstheme="majorBidi"/>
          <w:sz w:val="24"/>
          <w:szCs w:val="24"/>
          <w:lang w:bidi="ar-IQ"/>
        </w:rPr>
        <w:t xml:space="preserve"> </w:t>
      </w:r>
    </w:p>
    <w:p w:rsidR="000312AC" w:rsidRPr="00861683" w:rsidRDefault="000312AC" w:rsidP="00861683">
      <w:pPr>
        <w:pStyle w:val="a6"/>
        <w:numPr>
          <w:ilvl w:val="0"/>
          <w:numId w:val="4"/>
        </w:numPr>
        <w:tabs>
          <w:tab w:val="right" w:pos="567"/>
        </w:tabs>
        <w:bidi w:val="0"/>
        <w:spacing w:after="0" w:line="240" w:lineRule="auto"/>
        <w:ind w:left="0" w:firstLine="0"/>
        <w:jc w:val="both"/>
        <w:rPr>
          <w:rFonts w:asciiTheme="majorBidi" w:hAnsiTheme="majorBidi" w:cstheme="majorBidi"/>
          <w:sz w:val="24"/>
          <w:szCs w:val="24"/>
          <w:lang w:bidi="ar-IQ"/>
        </w:rPr>
      </w:pPr>
      <w:bookmarkStart w:id="27" w:name="_Ref337287733"/>
      <w:r w:rsidRPr="00861683">
        <w:rPr>
          <w:rFonts w:asciiTheme="majorBidi" w:hAnsiTheme="majorBidi" w:cstheme="majorBidi"/>
          <w:sz w:val="24"/>
          <w:szCs w:val="24"/>
          <w:lang w:bidi="ar-IQ"/>
        </w:rPr>
        <w:t xml:space="preserve">K.R. </w:t>
      </w:r>
      <w:proofErr w:type="spellStart"/>
      <w:r w:rsidRPr="00861683">
        <w:rPr>
          <w:rFonts w:asciiTheme="majorBidi" w:hAnsiTheme="majorBidi" w:cstheme="majorBidi"/>
          <w:sz w:val="24"/>
          <w:szCs w:val="24"/>
          <w:lang w:bidi="ar-IQ"/>
        </w:rPr>
        <w:t>Steingart</w:t>
      </w:r>
      <w:proofErr w:type="spellEnd"/>
      <w:r w:rsidRPr="00861683">
        <w:rPr>
          <w:rFonts w:asciiTheme="majorBidi" w:hAnsiTheme="majorBidi" w:cstheme="majorBidi"/>
          <w:sz w:val="24"/>
          <w:szCs w:val="24"/>
          <w:lang w:bidi="ar-IQ"/>
        </w:rPr>
        <w:t xml:space="preserve">, N. </w:t>
      </w:r>
      <w:proofErr w:type="spellStart"/>
      <w:r w:rsidRPr="00861683">
        <w:rPr>
          <w:rFonts w:asciiTheme="majorBidi" w:hAnsiTheme="majorBidi" w:cstheme="majorBidi"/>
          <w:sz w:val="24"/>
          <w:szCs w:val="24"/>
          <w:lang w:bidi="ar-IQ"/>
        </w:rPr>
        <w:t>Dendukuri</w:t>
      </w:r>
      <w:proofErr w:type="spellEnd"/>
      <w:r w:rsidRPr="00861683">
        <w:rPr>
          <w:rFonts w:asciiTheme="majorBidi" w:hAnsiTheme="majorBidi" w:cstheme="majorBidi"/>
          <w:sz w:val="24"/>
          <w:szCs w:val="24"/>
          <w:lang w:bidi="ar-IQ"/>
        </w:rPr>
        <w:t xml:space="preserve">, and M. Henry, Performance of purified antigens for </w:t>
      </w:r>
      <w:proofErr w:type="spellStart"/>
      <w:r w:rsidRPr="00861683">
        <w:rPr>
          <w:rFonts w:asciiTheme="majorBidi" w:hAnsiTheme="majorBidi" w:cstheme="majorBidi"/>
          <w:sz w:val="24"/>
          <w:szCs w:val="24"/>
          <w:lang w:bidi="ar-IQ"/>
        </w:rPr>
        <w:t>serodiagnosis</w:t>
      </w:r>
      <w:proofErr w:type="spellEnd"/>
      <w:r w:rsidRPr="00861683">
        <w:rPr>
          <w:rFonts w:asciiTheme="majorBidi" w:hAnsiTheme="majorBidi" w:cstheme="majorBidi"/>
          <w:sz w:val="24"/>
          <w:szCs w:val="24"/>
          <w:lang w:bidi="ar-IQ"/>
        </w:rPr>
        <w:t xml:space="preserve"> of pulmonary tuberculosis: A meta-analysis. </w:t>
      </w:r>
      <w:proofErr w:type="spellStart"/>
      <w:r w:rsidRPr="00861683">
        <w:rPr>
          <w:rFonts w:asciiTheme="majorBidi" w:hAnsiTheme="majorBidi" w:cstheme="majorBidi"/>
          <w:i/>
          <w:iCs/>
          <w:sz w:val="24"/>
          <w:szCs w:val="24"/>
          <w:lang w:bidi="ar-IQ"/>
        </w:rPr>
        <w:t>Clin</w:t>
      </w:r>
      <w:proofErr w:type="spellEnd"/>
      <w:r w:rsidRPr="00861683">
        <w:rPr>
          <w:rFonts w:asciiTheme="majorBidi" w:hAnsiTheme="majorBidi" w:cstheme="majorBidi"/>
          <w:i/>
          <w:iCs/>
          <w:sz w:val="24"/>
          <w:szCs w:val="24"/>
          <w:lang w:bidi="ar-IQ"/>
        </w:rPr>
        <w:t xml:space="preserve"> Vaccine </w:t>
      </w:r>
      <w:proofErr w:type="spellStart"/>
      <w:r w:rsidRPr="00861683">
        <w:rPr>
          <w:rFonts w:asciiTheme="majorBidi" w:hAnsiTheme="majorBidi" w:cstheme="majorBidi"/>
          <w:i/>
          <w:iCs/>
          <w:sz w:val="24"/>
          <w:szCs w:val="24"/>
          <w:lang w:bidi="ar-IQ"/>
        </w:rPr>
        <w:t>Immunol</w:t>
      </w:r>
      <w:proofErr w:type="spellEnd"/>
      <w:r w:rsidRPr="00861683">
        <w:rPr>
          <w:rFonts w:asciiTheme="majorBidi" w:hAnsiTheme="majorBidi" w:cstheme="majorBidi"/>
          <w:i/>
          <w:iCs/>
          <w:sz w:val="24"/>
          <w:szCs w:val="24"/>
          <w:lang w:bidi="ar-IQ"/>
        </w:rPr>
        <w:t xml:space="preserve"> , 16(2),</w:t>
      </w:r>
      <w:r w:rsidRPr="00861683">
        <w:rPr>
          <w:rFonts w:asciiTheme="majorBidi" w:hAnsiTheme="majorBidi" w:cstheme="majorBidi"/>
          <w:sz w:val="24"/>
          <w:szCs w:val="24"/>
          <w:lang w:bidi="ar-IQ"/>
        </w:rPr>
        <w:t xml:space="preserve"> 2009, 260–276.</w:t>
      </w:r>
      <w:bookmarkEnd w:id="27"/>
    </w:p>
    <w:p w:rsidR="000312AC" w:rsidRPr="00861683" w:rsidRDefault="000312AC" w:rsidP="00861683">
      <w:pPr>
        <w:pStyle w:val="a6"/>
        <w:numPr>
          <w:ilvl w:val="0"/>
          <w:numId w:val="4"/>
        </w:numPr>
        <w:tabs>
          <w:tab w:val="right" w:pos="567"/>
        </w:tabs>
        <w:bidi w:val="0"/>
        <w:spacing w:after="0" w:line="240" w:lineRule="auto"/>
        <w:ind w:left="0" w:firstLine="0"/>
        <w:jc w:val="both"/>
        <w:rPr>
          <w:rFonts w:asciiTheme="majorBidi" w:hAnsiTheme="majorBidi" w:cstheme="majorBidi"/>
          <w:sz w:val="24"/>
          <w:szCs w:val="24"/>
          <w:lang w:bidi="ar-IQ"/>
        </w:rPr>
      </w:pPr>
      <w:bookmarkStart w:id="28" w:name="_Ref337287745"/>
      <w:r w:rsidRPr="00861683">
        <w:rPr>
          <w:rFonts w:asciiTheme="majorBidi" w:hAnsiTheme="majorBidi" w:cstheme="majorBidi"/>
          <w:sz w:val="24"/>
          <w:szCs w:val="24"/>
          <w:lang w:bidi="ar-IQ"/>
        </w:rPr>
        <w:t xml:space="preserve">K.R. </w:t>
      </w:r>
      <w:proofErr w:type="spellStart"/>
      <w:r w:rsidRPr="00861683">
        <w:rPr>
          <w:rFonts w:asciiTheme="majorBidi" w:hAnsiTheme="majorBidi" w:cstheme="majorBidi"/>
          <w:sz w:val="24"/>
          <w:szCs w:val="24"/>
          <w:lang w:bidi="ar-IQ"/>
        </w:rPr>
        <w:t>Steingart</w:t>
      </w:r>
      <w:proofErr w:type="spellEnd"/>
      <w:r w:rsidRPr="00861683">
        <w:rPr>
          <w:rFonts w:asciiTheme="majorBidi" w:hAnsiTheme="majorBidi" w:cstheme="majorBidi"/>
          <w:sz w:val="24"/>
          <w:szCs w:val="24"/>
          <w:lang w:bidi="ar-IQ"/>
        </w:rPr>
        <w:t xml:space="preserve">, M. Henry, S. </w:t>
      </w:r>
      <w:proofErr w:type="spellStart"/>
      <w:r w:rsidRPr="00861683">
        <w:rPr>
          <w:rFonts w:asciiTheme="majorBidi" w:hAnsiTheme="majorBidi" w:cstheme="majorBidi"/>
          <w:sz w:val="24"/>
          <w:szCs w:val="24"/>
          <w:lang w:bidi="ar-IQ"/>
        </w:rPr>
        <w:t>Laal</w:t>
      </w:r>
      <w:proofErr w:type="spellEnd"/>
      <w:r w:rsidRPr="00861683">
        <w:rPr>
          <w:rFonts w:asciiTheme="majorBidi" w:hAnsiTheme="majorBidi" w:cstheme="majorBidi"/>
          <w:sz w:val="24"/>
          <w:szCs w:val="24"/>
          <w:lang w:bidi="ar-IQ"/>
        </w:rPr>
        <w:t xml:space="preserve">, A systematic review of commercial serological antibody detection tests for the diagnosis of </w:t>
      </w:r>
      <w:proofErr w:type="spellStart"/>
      <w:r w:rsidRPr="00861683">
        <w:rPr>
          <w:rFonts w:asciiTheme="majorBidi" w:hAnsiTheme="majorBidi" w:cstheme="majorBidi"/>
          <w:sz w:val="24"/>
          <w:szCs w:val="24"/>
          <w:lang w:bidi="ar-IQ"/>
        </w:rPr>
        <w:t>extrapulmonary</w:t>
      </w:r>
      <w:proofErr w:type="spellEnd"/>
      <w:r w:rsidRPr="00861683">
        <w:rPr>
          <w:rFonts w:asciiTheme="majorBidi" w:hAnsiTheme="majorBidi" w:cstheme="majorBidi"/>
          <w:sz w:val="24"/>
          <w:szCs w:val="24"/>
          <w:lang w:bidi="ar-IQ"/>
        </w:rPr>
        <w:t xml:space="preserve"> tuberculosis. </w:t>
      </w:r>
      <w:r w:rsidRPr="00861683">
        <w:rPr>
          <w:rFonts w:asciiTheme="majorBidi" w:hAnsiTheme="majorBidi" w:cstheme="majorBidi"/>
          <w:i/>
          <w:iCs/>
          <w:sz w:val="24"/>
          <w:szCs w:val="24"/>
          <w:lang w:bidi="ar-IQ"/>
        </w:rPr>
        <w:t>Postgrad Med J, 83(985)</w:t>
      </w:r>
      <w:r w:rsidRPr="00861683">
        <w:rPr>
          <w:rFonts w:asciiTheme="majorBidi" w:hAnsiTheme="majorBidi" w:cstheme="majorBidi"/>
          <w:sz w:val="24"/>
          <w:szCs w:val="24"/>
          <w:lang w:bidi="ar-IQ"/>
        </w:rPr>
        <w:t>, 2007, 705–712.</w:t>
      </w:r>
      <w:bookmarkEnd w:id="28"/>
    </w:p>
    <w:p w:rsidR="00861683" w:rsidRDefault="00861683" w:rsidP="000312AC">
      <w:pPr>
        <w:sectPr w:rsidR="00861683" w:rsidSect="00861683">
          <w:type w:val="continuous"/>
          <w:pgSz w:w="11907" w:h="16840" w:code="9"/>
          <w:pgMar w:top="1440" w:right="1800" w:bottom="1440" w:left="1800" w:header="1138" w:footer="514" w:gutter="0"/>
          <w:cols w:num="2" w:space="709"/>
          <w:titlePg/>
          <w:docGrid w:linePitch="360"/>
        </w:sectPr>
      </w:pPr>
    </w:p>
    <w:p w:rsidR="000312AC" w:rsidRPr="004465F2" w:rsidRDefault="000312AC" w:rsidP="000312AC"/>
    <w:p w:rsidR="0062599E" w:rsidRDefault="0062599E">
      <w:pPr>
        <w:rPr>
          <w:lang w:bidi="ar-IQ"/>
        </w:rPr>
      </w:pPr>
    </w:p>
    <w:sectPr w:rsidR="0062599E" w:rsidSect="00861683">
      <w:type w:val="continuous"/>
      <w:pgSz w:w="11907" w:h="16840" w:code="9"/>
      <w:pgMar w:top="1440" w:right="1800" w:bottom="1440" w:left="1800" w:header="1138" w:footer="51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679" w:rsidRDefault="002A1679" w:rsidP="000312AC">
      <w:pPr>
        <w:spacing w:after="0" w:line="240" w:lineRule="auto"/>
      </w:pPr>
      <w:r>
        <w:separator/>
      </w:r>
    </w:p>
  </w:endnote>
  <w:endnote w:type="continuationSeparator" w:id="0">
    <w:p w:rsidR="002A1679" w:rsidRDefault="002A1679" w:rsidP="000312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9042"/>
      <w:docPartObj>
        <w:docPartGallery w:val="Page Numbers (Bottom of Page)"/>
        <w:docPartUnique/>
      </w:docPartObj>
    </w:sdtPr>
    <w:sdtContent>
      <w:p w:rsidR="0015764B" w:rsidRDefault="00061D14">
        <w:pPr>
          <w:pStyle w:val="a5"/>
          <w:jc w:val="center"/>
        </w:pPr>
        <w:r w:rsidRPr="00EB7227">
          <w:rPr>
            <w:rFonts w:asciiTheme="majorBidi" w:hAnsiTheme="majorBidi" w:cstheme="majorBidi"/>
            <w:sz w:val="20"/>
            <w:szCs w:val="20"/>
          </w:rPr>
          <w:fldChar w:fldCharType="begin"/>
        </w:r>
        <w:r w:rsidR="0015764B" w:rsidRPr="00EB7227">
          <w:rPr>
            <w:rFonts w:asciiTheme="majorBidi" w:hAnsiTheme="majorBidi" w:cstheme="majorBidi"/>
            <w:sz w:val="20"/>
            <w:szCs w:val="20"/>
          </w:rPr>
          <w:instrText xml:space="preserve"> PAGE   \* MERGEFORMAT </w:instrText>
        </w:r>
        <w:r w:rsidRPr="00EB7227">
          <w:rPr>
            <w:rFonts w:asciiTheme="majorBidi" w:hAnsiTheme="majorBidi" w:cstheme="majorBidi"/>
            <w:sz w:val="20"/>
            <w:szCs w:val="20"/>
          </w:rPr>
          <w:fldChar w:fldCharType="separate"/>
        </w:r>
        <w:r w:rsidR="0081073D">
          <w:rPr>
            <w:rFonts w:asciiTheme="majorBidi" w:hAnsiTheme="majorBidi" w:cstheme="majorBidi"/>
            <w:noProof/>
            <w:sz w:val="20"/>
            <w:szCs w:val="20"/>
          </w:rPr>
          <w:t>69</w:t>
        </w:r>
        <w:r w:rsidRPr="00EB7227">
          <w:rPr>
            <w:rFonts w:asciiTheme="majorBidi" w:hAnsiTheme="majorBidi" w:cstheme="majorBidi"/>
            <w:noProof/>
            <w:sz w:val="20"/>
            <w:szCs w:val="20"/>
          </w:rPr>
          <w:fldChar w:fldCharType="end"/>
        </w:r>
      </w:p>
    </w:sdtContent>
  </w:sdt>
  <w:p w:rsidR="0015764B" w:rsidRDefault="0015764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343880"/>
      <w:docPartObj>
        <w:docPartGallery w:val="Page Numbers (Bottom of Page)"/>
        <w:docPartUnique/>
      </w:docPartObj>
    </w:sdtPr>
    <w:sdtEndPr>
      <w:rPr>
        <w:rFonts w:asciiTheme="majorBidi" w:hAnsiTheme="majorBidi" w:cstheme="majorBidi"/>
        <w:sz w:val="20"/>
        <w:szCs w:val="20"/>
      </w:rPr>
    </w:sdtEndPr>
    <w:sdtContent>
      <w:p w:rsidR="00010023" w:rsidRPr="00010023" w:rsidRDefault="00061D14">
        <w:pPr>
          <w:pStyle w:val="a5"/>
          <w:jc w:val="center"/>
          <w:rPr>
            <w:rFonts w:asciiTheme="majorBidi" w:hAnsiTheme="majorBidi" w:cstheme="majorBidi"/>
            <w:sz w:val="20"/>
            <w:szCs w:val="20"/>
          </w:rPr>
        </w:pPr>
        <w:r w:rsidRPr="00010023">
          <w:rPr>
            <w:rFonts w:asciiTheme="majorBidi" w:hAnsiTheme="majorBidi" w:cstheme="majorBidi"/>
            <w:sz w:val="20"/>
            <w:szCs w:val="20"/>
          </w:rPr>
          <w:fldChar w:fldCharType="begin"/>
        </w:r>
        <w:r w:rsidR="00010023" w:rsidRPr="00010023">
          <w:rPr>
            <w:rFonts w:asciiTheme="majorBidi" w:hAnsiTheme="majorBidi" w:cstheme="majorBidi"/>
            <w:sz w:val="20"/>
            <w:szCs w:val="20"/>
          </w:rPr>
          <w:instrText>PAGE   \* MERGEFORMAT</w:instrText>
        </w:r>
        <w:r w:rsidRPr="00010023">
          <w:rPr>
            <w:rFonts w:asciiTheme="majorBidi" w:hAnsiTheme="majorBidi" w:cstheme="majorBidi"/>
            <w:sz w:val="20"/>
            <w:szCs w:val="20"/>
          </w:rPr>
          <w:fldChar w:fldCharType="separate"/>
        </w:r>
        <w:r w:rsidR="0081073D" w:rsidRPr="0081073D">
          <w:rPr>
            <w:rFonts w:asciiTheme="majorBidi" w:hAnsiTheme="majorBidi"/>
            <w:noProof/>
            <w:sz w:val="20"/>
            <w:szCs w:val="20"/>
            <w:lang w:val="ar-SA"/>
          </w:rPr>
          <w:t>58</w:t>
        </w:r>
        <w:r w:rsidRPr="00010023">
          <w:rPr>
            <w:rFonts w:asciiTheme="majorBidi" w:hAnsiTheme="majorBidi" w:cstheme="majorBidi"/>
            <w:sz w:val="20"/>
            <w:szCs w:val="20"/>
          </w:rPr>
          <w:fldChar w:fldCharType="end"/>
        </w:r>
      </w:p>
    </w:sdtContent>
  </w:sdt>
  <w:p w:rsidR="00010023" w:rsidRDefault="000100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679" w:rsidRDefault="002A1679" w:rsidP="000312AC">
      <w:pPr>
        <w:spacing w:after="0" w:line="240" w:lineRule="auto"/>
      </w:pPr>
      <w:r>
        <w:separator/>
      </w:r>
    </w:p>
  </w:footnote>
  <w:footnote w:type="continuationSeparator" w:id="0">
    <w:p w:rsidR="002A1679" w:rsidRDefault="002A1679" w:rsidP="000312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64B" w:rsidRDefault="0015764B">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580" w:rsidRPr="005B1455" w:rsidRDefault="00AF5580" w:rsidP="00AF5580">
    <w:pPr>
      <w:pStyle w:val="a8"/>
      <w:bidi w:val="0"/>
      <w:jc w:val="center"/>
      <w:rPr>
        <w:lang w:bidi="ar-IQ"/>
      </w:rPr>
    </w:pPr>
    <w:r w:rsidRPr="00F8760C">
      <w:rPr>
        <w:rFonts w:ascii="Times New Roman" w:hAnsi="Times New Roman"/>
        <w:b/>
        <w:bCs/>
        <w:sz w:val="20"/>
        <w:szCs w:val="20"/>
        <w:u w:val="single"/>
        <w:lang w:bidi="ar-JO"/>
      </w:rPr>
      <w:t xml:space="preserve">Medical Journal of Babylon-Vol. </w:t>
    </w:r>
    <w:r w:rsidRPr="00F8760C">
      <w:rPr>
        <w:rFonts w:ascii="Times New Roman" w:hAnsi="Times New Roman"/>
        <w:b/>
        <w:bCs/>
        <w:sz w:val="20"/>
        <w:szCs w:val="20"/>
        <w:u w:val="single"/>
        <w:lang w:val="en-IN" w:bidi="ar-JO"/>
      </w:rPr>
      <w:t>1</w:t>
    </w:r>
    <w:r>
      <w:rPr>
        <w:rFonts w:ascii="Times New Roman" w:hAnsi="Times New Roman"/>
        <w:b/>
        <w:bCs/>
        <w:sz w:val="20"/>
        <w:szCs w:val="20"/>
        <w:u w:val="single"/>
        <w:lang w:val="en-IN" w:bidi="ar-JO"/>
      </w:rPr>
      <w:t>1</w:t>
    </w:r>
    <w:r w:rsidRPr="00F8760C">
      <w:rPr>
        <w:rFonts w:ascii="Times New Roman" w:hAnsi="Times New Roman"/>
        <w:b/>
        <w:bCs/>
        <w:sz w:val="20"/>
        <w:szCs w:val="20"/>
        <w:u w:val="single"/>
        <w:lang w:bidi="ar-JO"/>
      </w:rPr>
      <w:t xml:space="preserve">- No. </w:t>
    </w:r>
    <w:r>
      <w:rPr>
        <w:rFonts w:ascii="Times New Roman" w:hAnsi="Times New Roman"/>
        <w:b/>
        <w:bCs/>
        <w:sz w:val="20"/>
        <w:szCs w:val="20"/>
        <w:u w:val="single"/>
        <w:lang w:val="en-IN" w:bidi="ar-JO"/>
      </w:rPr>
      <w:t>1</w:t>
    </w:r>
    <w:r w:rsidRPr="00F8760C">
      <w:rPr>
        <w:rFonts w:ascii="Times New Roman" w:hAnsi="Times New Roman"/>
        <w:b/>
        <w:bCs/>
        <w:sz w:val="20"/>
        <w:szCs w:val="20"/>
        <w:u w:val="single"/>
        <w:lang w:bidi="ar-JO"/>
      </w:rPr>
      <w:t xml:space="preserve"> -201</w:t>
    </w:r>
    <w:r>
      <w:rPr>
        <w:rFonts w:ascii="Times New Roman" w:hAnsi="Times New Roman"/>
        <w:b/>
        <w:bCs/>
        <w:sz w:val="20"/>
        <w:szCs w:val="20"/>
        <w:u w:val="single"/>
        <w:lang w:val="en-IN" w:bidi="ar-JO"/>
      </w:rPr>
      <w:t>4</w:t>
    </w:r>
    <w:r w:rsidRPr="00F8760C">
      <w:rPr>
        <w:rFonts w:ascii="Times New Roman" w:hAnsi="Times New Roman"/>
        <w:b/>
        <w:bCs/>
        <w:sz w:val="20"/>
        <w:szCs w:val="20"/>
        <w:u w:val="single"/>
        <w:lang w:bidi="ar-JO"/>
      </w:rPr>
      <w:t xml:space="preserve">  </w:t>
    </w:r>
    <w:r w:rsidRPr="00F8760C">
      <w:rPr>
        <w:rFonts w:ascii="Times New Roman" w:hAnsi="Times New Roman"/>
        <w:b/>
        <w:bCs/>
        <w:sz w:val="20"/>
        <w:szCs w:val="20"/>
        <w:u w:val="single"/>
        <w:rtl/>
        <w:lang w:bidi="ar-JO"/>
      </w:rPr>
      <w:t xml:space="preserve"> مجلة بابل الطبية- المجلد ال</w:t>
    </w:r>
    <w:r>
      <w:rPr>
        <w:rFonts w:ascii="Times New Roman" w:hAnsi="Times New Roman" w:hint="cs"/>
        <w:b/>
        <w:bCs/>
        <w:sz w:val="20"/>
        <w:szCs w:val="20"/>
        <w:u w:val="single"/>
        <w:rtl/>
        <w:lang w:bidi="ar-JO"/>
      </w:rPr>
      <w:t xml:space="preserve">حادي عشر </w:t>
    </w:r>
    <w:r w:rsidRPr="00F8760C">
      <w:rPr>
        <w:rFonts w:ascii="Times New Roman" w:hAnsi="Times New Roman"/>
        <w:b/>
        <w:bCs/>
        <w:sz w:val="20"/>
        <w:szCs w:val="20"/>
        <w:u w:val="single"/>
        <w:rtl/>
        <w:lang w:bidi="ar-JO"/>
      </w:rPr>
      <w:t xml:space="preserve">- العدد </w:t>
    </w:r>
    <w:proofErr w:type="spellStart"/>
    <w:r>
      <w:rPr>
        <w:rFonts w:ascii="Times New Roman" w:hAnsi="Times New Roman" w:hint="cs"/>
        <w:b/>
        <w:bCs/>
        <w:sz w:val="20"/>
        <w:szCs w:val="20"/>
        <w:u w:val="single"/>
        <w:rtl/>
        <w:lang w:bidi="ar-JO"/>
      </w:rPr>
      <w:t>الأ</w:t>
    </w:r>
    <w:proofErr w:type="spellEnd"/>
    <w:r>
      <w:rPr>
        <w:rFonts w:ascii="Times New Roman" w:hAnsi="Times New Roman" w:hint="cs"/>
        <w:b/>
        <w:bCs/>
        <w:sz w:val="20"/>
        <w:szCs w:val="20"/>
        <w:u w:val="single"/>
        <w:rtl/>
        <w:lang w:bidi="ar-IQ"/>
      </w:rPr>
      <w:t>ول</w:t>
    </w:r>
    <w:proofErr w:type="spellStart"/>
    <w:r w:rsidRPr="00F8760C">
      <w:rPr>
        <w:rFonts w:ascii="Times New Roman" w:hAnsi="Times New Roman"/>
        <w:b/>
        <w:bCs/>
        <w:sz w:val="20"/>
        <w:szCs w:val="20"/>
        <w:u w:val="single"/>
        <w:rtl/>
        <w:lang w:bidi="ar-JO"/>
      </w:rPr>
      <w:t>-</w:t>
    </w:r>
    <w:proofErr w:type="spellEnd"/>
    <w:r w:rsidRPr="00F8760C">
      <w:rPr>
        <w:rFonts w:ascii="Times New Roman" w:hAnsi="Times New Roman"/>
        <w:b/>
        <w:bCs/>
        <w:sz w:val="20"/>
        <w:szCs w:val="20"/>
        <w:u w:val="single"/>
        <w:rtl/>
        <w:lang w:bidi="ar-JO"/>
      </w:rPr>
      <w:t xml:space="preserve"> 201</w:t>
    </w:r>
    <w:r>
      <w:rPr>
        <w:rFonts w:ascii="Times New Roman" w:hAnsi="Times New Roman" w:hint="cs"/>
        <w:b/>
        <w:bCs/>
        <w:sz w:val="20"/>
        <w:szCs w:val="20"/>
        <w:u w:val="single"/>
        <w:rtl/>
        <w:lang w:bidi="ar-IQ"/>
      </w:rPr>
      <w:t>4</w:t>
    </w:r>
  </w:p>
  <w:p w:rsidR="0015764B" w:rsidRPr="000312AC" w:rsidRDefault="0015764B" w:rsidP="000312AC">
    <w:pPr>
      <w:pStyle w:val="a4"/>
    </w:pPr>
    <w:r w:rsidRPr="000312AC">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1"/>
      <w:lvlText w:val="%1."/>
      <w:legacy w:legacy="1" w:legacySpace="144" w:legacyIndent="144"/>
      <w:lvlJc w:val="left"/>
    </w:lvl>
    <w:lvl w:ilvl="1">
      <w:start w:val="1"/>
      <w:numFmt w:val="upperLetter"/>
      <w:pStyle w:val="2"/>
      <w:lvlText w:val="%2."/>
      <w:legacy w:legacy="1" w:legacySpace="144" w:legacyIndent="144"/>
      <w:lvlJc w:val="left"/>
    </w:lvl>
    <w:lvl w:ilvl="2">
      <w:start w:val="1"/>
      <w:numFmt w:val="decimal"/>
      <w:pStyle w:val="3"/>
      <w:lvlText w:val="%3)"/>
      <w:legacy w:legacy="1" w:legacySpace="144" w:legacyIndent="144"/>
      <w:lvlJc w:val="left"/>
    </w:lvl>
    <w:lvl w:ilvl="3">
      <w:start w:val="1"/>
      <w:numFmt w:val="lowerLetter"/>
      <w:pStyle w:val="4"/>
      <w:lvlText w:val="%4)"/>
      <w:legacy w:legacy="1" w:legacySpace="0" w:legacyIndent="720"/>
      <w:lvlJc w:val="left"/>
      <w:pPr>
        <w:ind w:left="1332" w:hanging="720"/>
      </w:pPr>
    </w:lvl>
    <w:lvl w:ilvl="4">
      <w:start w:val="1"/>
      <w:numFmt w:val="decimal"/>
      <w:pStyle w:val="5"/>
      <w:lvlText w:val="(%5)"/>
      <w:legacy w:legacy="1" w:legacySpace="0" w:legacyIndent="720"/>
      <w:lvlJc w:val="left"/>
      <w:pPr>
        <w:ind w:left="2052" w:hanging="720"/>
      </w:pPr>
    </w:lvl>
    <w:lvl w:ilvl="5">
      <w:start w:val="1"/>
      <w:numFmt w:val="lowerLetter"/>
      <w:pStyle w:val="6"/>
      <w:lvlText w:val="(%6)"/>
      <w:legacy w:legacy="1" w:legacySpace="0" w:legacyIndent="720"/>
      <w:lvlJc w:val="left"/>
      <w:pPr>
        <w:ind w:left="2772" w:hanging="720"/>
      </w:pPr>
    </w:lvl>
    <w:lvl w:ilvl="6">
      <w:start w:val="1"/>
      <w:numFmt w:val="lowerRoman"/>
      <w:pStyle w:val="7"/>
      <w:lvlText w:val="(%7)"/>
      <w:legacy w:legacy="1" w:legacySpace="0" w:legacyIndent="720"/>
      <w:lvlJc w:val="left"/>
      <w:pPr>
        <w:ind w:left="3492" w:hanging="720"/>
      </w:pPr>
    </w:lvl>
    <w:lvl w:ilvl="7">
      <w:start w:val="1"/>
      <w:numFmt w:val="lowerLetter"/>
      <w:pStyle w:val="8"/>
      <w:lvlText w:val="(%8)"/>
      <w:legacy w:legacy="1" w:legacySpace="0" w:legacyIndent="720"/>
      <w:lvlJc w:val="left"/>
      <w:pPr>
        <w:ind w:left="4212" w:hanging="720"/>
      </w:pPr>
    </w:lvl>
    <w:lvl w:ilvl="8">
      <w:start w:val="1"/>
      <w:numFmt w:val="lowerRoman"/>
      <w:pStyle w:val="9"/>
      <w:lvlText w:val="(%9)"/>
      <w:legacy w:legacy="1" w:legacySpace="0" w:legacyIndent="720"/>
      <w:lvlJc w:val="left"/>
      <w:pPr>
        <w:ind w:left="4932" w:hanging="720"/>
      </w:pPr>
    </w:lvl>
  </w:abstractNum>
  <w:abstractNum w:abstractNumId="1">
    <w:nsid w:val="3AD41E26"/>
    <w:multiLevelType w:val="multilevel"/>
    <w:tmpl w:val="FBB88B2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BE7399B"/>
    <w:multiLevelType w:val="hybridMultilevel"/>
    <w:tmpl w:val="7E4E0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A56FB5"/>
    <w:multiLevelType w:val="hybridMultilevel"/>
    <w:tmpl w:val="617897E2"/>
    <w:lvl w:ilvl="0" w:tplc="96166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0312AC"/>
    <w:rsid w:val="00010023"/>
    <w:rsid w:val="000312AC"/>
    <w:rsid w:val="000563D5"/>
    <w:rsid w:val="00061D14"/>
    <w:rsid w:val="000749CD"/>
    <w:rsid w:val="0015764B"/>
    <w:rsid w:val="00190696"/>
    <w:rsid w:val="001B3ED1"/>
    <w:rsid w:val="001C5F93"/>
    <w:rsid w:val="002A1679"/>
    <w:rsid w:val="002D1DCC"/>
    <w:rsid w:val="002E2C0B"/>
    <w:rsid w:val="002E70E8"/>
    <w:rsid w:val="002F3E26"/>
    <w:rsid w:val="0030240F"/>
    <w:rsid w:val="003579E7"/>
    <w:rsid w:val="00402022"/>
    <w:rsid w:val="004079BD"/>
    <w:rsid w:val="00417663"/>
    <w:rsid w:val="00455991"/>
    <w:rsid w:val="00466BDB"/>
    <w:rsid w:val="004A2455"/>
    <w:rsid w:val="004D400B"/>
    <w:rsid w:val="004E7FC2"/>
    <w:rsid w:val="005A3C88"/>
    <w:rsid w:val="005C42B6"/>
    <w:rsid w:val="00615297"/>
    <w:rsid w:val="006215F0"/>
    <w:rsid w:val="0062599E"/>
    <w:rsid w:val="006510C7"/>
    <w:rsid w:val="006A42E6"/>
    <w:rsid w:val="00726740"/>
    <w:rsid w:val="00732935"/>
    <w:rsid w:val="00756FFD"/>
    <w:rsid w:val="00771EA3"/>
    <w:rsid w:val="007816C8"/>
    <w:rsid w:val="0081073D"/>
    <w:rsid w:val="00861683"/>
    <w:rsid w:val="008772D0"/>
    <w:rsid w:val="008F5111"/>
    <w:rsid w:val="00961F10"/>
    <w:rsid w:val="00972C55"/>
    <w:rsid w:val="009E3D37"/>
    <w:rsid w:val="00A969B1"/>
    <w:rsid w:val="00AF5580"/>
    <w:rsid w:val="00B033D5"/>
    <w:rsid w:val="00B47D5E"/>
    <w:rsid w:val="00C12BB4"/>
    <w:rsid w:val="00C476FA"/>
    <w:rsid w:val="00CC6103"/>
    <w:rsid w:val="00CF1F4F"/>
    <w:rsid w:val="00D665E5"/>
    <w:rsid w:val="00E4260C"/>
    <w:rsid w:val="00EB7227"/>
    <w:rsid w:val="00F23446"/>
    <w:rsid w:val="00F60CC5"/>
    <w:rsid w:val="00F8693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935"/>
    <w:rPr>
      <w:rFonts w:ascii="Calibri" w:eastAsia="Calibri" w:hAnsi="Calibri" w:cs="Times New Roman"/>
    </w:rPr>
  </w:style>
  <w:style w:type="paragraph" w:styleId="1">
    <w:name w:val="heading 1"/>
    <w:basedOn w:val="a"/>
    <w:next w:val="a"/>
    <w:link w:val="1Char"/>
    <w:qFormat/>
    <w:rsid w:val="000312AC"/>
    <w:pPr>
      <w:keepNext/>
      <w:numPr>
        <w:numId w:val="1"/>
      </w:numPr>
      <w:autoSpaceDE w:val="0"/>
      <w:autoSpaceDN w:val="0"/>
      <w:spacing w:before="240" w:after="80" w:line="240" w:lineRule="auto"/>
      <w:jc w:val="center"/>
      <w:outlineLvl w:val="0"/>
    </w:pPr>
    <w:rPr>
      <w:rFonts w:ascii="Times New Roman" w:eastAsia="Times New Roman" w:hAnsi="Times New Roman"/>
      <w:smallCaps/>
      <w:kern w:val="28"/>
      <w:sz w:val="20"/>
      <w:szCs w:val="20"/>
    </w:rPr>
  </w:style>
  <w:style w:type="paragraph" w:styleId="2">
    <w:name w:val="heading 2"/>
    <w:basedOn w:val="a"/>
    <w:next w:val="a"/>
    <w:link w:val="2Char"/>
    <w:qFormat/>
    <w:rsid w:val="000312AC"/>
    <w:pPr>
      <w:keepNext/>
      <w:numPr>
        <w:ilvl w:val="1"/>
        <w:numId w:val="1"/>
      </w:numPr>
      <w:autoSpaceDE w:val="0"/>
      <w:autoSpaceDN w:val="0"/>
      <w:spacing w:before="120" w:after="60" w:line="240" w:lineRule="auto"/>
      <w:ind w:left="144"/>
      <w:outlineLvl w:val="1"/>
    </w:pPr>
    <w:rPr>
      <w:rFonts w:ascii="Times New Roman" w:eastAsia="Times New Roman" w:hAnsi="Times New Roman"/>
      <w:i/>
      <w:iCs/>
      <w:sz w:val="20"/>
      <w:szCs w:val="20"/>
    </w:rPr>
  </w:style>
  <w:style w:type="paragraph" w:styleId="3">
    <w:name w:val="heading 3"/>
    <w:basedOn w:val="a"/>
    <w:next w:val="a"/>
    <w:link w:val="3Char"/>
    <w:qFormat/>
    <w:rsid w:val="000312AC"/>
    <w:pPr>
      <w:keepNext/>
      <w:numPr>
        <w:ilvl w:val="2"/>
        <w:numId w:val="1"/>
      </w:numPr>
      <w:autoSpaceDE w:val="0"/>
      <w:autoSpaceDN w:val="0"/>
      <w:spacing w:after="0" w:line="240" w:lineRule="auto"/>
      <w:ind w:left="288"/>
      <w:outlineLvl w:val="2"/>
    </w:pPr>
    <w:rPr>
      <w:rFonts w:ascii="Times New Roman" w:eastAsia="Times New Roman" w:hAnsi="Times New Roman"/>
      <w:i/>
      <w:iCs/>
      <w:sz w:val="20"/>
      <w:szCs w:val="20"/>
    </w:rPr>
  </w:style>
  <w:style w:type="paragraph" w:styleId="4">
    <w:name w:val="heading 4"/>
    <w:basedOn w:val="a"/>
    <w:next w:val="a"/>
    <w:link w:val="4Char"/>
    <w:qFormat/>
    <w:rsid w:val="000312AC"/>
    <w:pPr>
      <w:keepNext/>
      <w:numPr>
        <w:ilvl w:val="3"/>
        <w:numId w:val="1"/>
      </w:numPr>
      <w:autoSpaceDE w:val="0"/>
      <w:autoSpaceDN w:val="0"/>
      <w:spacing w:before="240" w:after="60" w:line="240" w:lineRule="auto"/>
      <w:outlineLvl w:val="3"/>
    </w:pPr>
    <w:rPr>
      <w:rFonts w:ascii="Times New Roman" w:eastAsia="Times New Roman" w:hAnsi="Times New Roman"/>
      <w:i/>
      <w:iCs/>
      <w:sz w:val="18"/>
      <w:szCs w:val="18"/>
    </w:rPr>
  </w:style>
  <w:style w:type="paragraph" w:styleId="5">
    <w:name w:val="heading 5"/>
    <w:basedOn w:val="a"/>
    <w:next w:val="a"/>
    <w:link w:val="5Char"/>
    <w:qFormat/>
    <w:rsid w:val="000312AC"/>
    <w:pPr>
      <w:numPr>
        <w:ilvl w:val="4"/>
        <w:numId w:val="1"/>
      </w:numPr>
      <w:autoSpaceDE w:val="0"/>
      <w:autoSpaceDN w:val="0"/>
      <w:spacing w:before="240" w:after="60" w:line="240" w:lineRule="auto"/>
      <w:outlineLvl w:val="4"/>
    </w:pPr>
    <w:rPr>
      <w:rFonts w:ascii="Times New Roman" w:eastAsia="Times New Roman" w:hAnsi="Times New Roman"/>
      <w:sz w:val="18"/>
      <w:szCs w:val="18"/>
    </w:rPr>
  </w:style>
  <w:style w:type="paragraph" w:styleId="6">
    <w:name w:val="heading 6"/>
    <w:basedOn w:val="a"/>
    <w:next w:val="a"/>
    <w:link w:val="6Char"/>
    <w:qFormat/>
    <w:rsid w:val="000312AC"/>
    <w:pPr>
      <w:numPr>
        <w:ilvl w:val="5"/>
        <w:numId w:val="1"/>
      </w:numPr>
      <w:autoSpaceDE w:val="0"/>
      <w:autoSpaceDN w:val="0"/>
      <w:spacing w:before="240" w:after="60" w:line="240" w:lineRule="auto"/>
      <w:outlineLvl w:val="5"/>
    </w:pPr>
    <w:rPr>
      <w:rFonts w:ascii="Times New Roman" w:eastAsia="Times New Roman" w:hAnsi="Times New Roman"/>
      <w:i/>
      <w:iCs/>
      <w:sz w:val="16"/>
      <w:szCs w:val="16"/>
    </w:rPr>
  </w:style>
  <w:style w:type="paragraph" w:styleId="7">
    <w:name w:val="heading 7"/>
    <w:basedOn w:val="a"/>
    <w:next w:val="a"/>
    <w:link w:val="7Char"/>
    <w:qFormat/>
    <w:rsid w:val="000312AC"/>
    <w:pPr>
      <w:numPr>
        <w:ilvl w:val="6"/>
        <w:numId w:val="1"/>
      </w:numPr>
      <w:autoSpaceDE w:val="0"/>
      <w:autoSpaceDN w:val="0"/>
      <w:spacing w:before="240" w:after="60" w:line="240" w:lineRule="auto"/>
      <w:outlineLvl w:val="6"/>
    </w:pPr>
    <w:rPr>
      <w:rFonts w:ascii="Times New Roman" w:eastAsia="Times New Roman" w:hAnsi="Times New Roman"/>
      <w:sz w:val="16"/>
      <w:szCs w:val="16"/>
    </w:rPr>
  </w:style>
  <w:style w:type="paragraph" w:styleId="8">
    <w:name w:val="heading 8"/>
    <w:basedOn w:val="a"/>
    <w:next w:val="a"/>
    <w:link w:val="8Char"/>
    <w:qFormat/>
    <w:rsid w:val="000312AC"/>
    <w:pPr>
      <w:numPr>
        <w:ilvl w:val="7"/>
        <w:numId w:val="1"/>
      </w:numPr>
      <w:autoSpaceDE w:val="0"/>
      <w:autoSpaceDN w:val="0"/>
      <w:spacing w:before="240" w:after="60" w:line="240" w:lineRule="auto"/>
      <w:outlineLvl w:val="7"/>
    </w:pPr>
    <w:rPr>
      <w:rFonts w:ascii="Times New Roman" w:eastAsia="Times New Roman" w:hAnsi="Times New Roman"/>
      <w:i/>
      <w:iCs/>
      <w:sz w:val="16"/>
      <w:szCs w:val="16"/>
    </w:rPr>
  </w:style>
  <w:style w:type="paragraph" w:styleId="9">
    <w:name w:val="heading 9"/>
    <w:basedOn w:val="a"/>
    <w:next w:val="a"/>
    <w:link w:val="9Char"/>
    <w:qFormat/>
    <w:rsid w:val="000312AC"/>
    <w:pPr>
      <w:numPr>
        <w:ilvl w:val="8"/>
        <w:numId w:val="1"/>
      </w:numPr>
      <w:autoSpaceDE w:val="0"/>
      <w:autoSpaceDN w:val="0"/>
      <w:spacing w:before="240" w:after="60" w:line="240" w:lineRule="auto"/>
      <w:outlineLvl w:val="8"/>
    </w:pPr>
    <w:rPr>
      <w:rFonts w:ascii="Times New Roman" w:eastAsia="Times New Roman" w:hAnsi="Times New Roman"/>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0312AC"/>
    <w:rPr>
      <w:rFonts w:ascii="Times New Roman" w:eastAsia="Times New Roman" w:hAnsi="Times New Roman" w:cs="Times New Roman"/>
      <w:smallCaps/>
      <w:kern w:val="28"/>
      <w:sz w:val="20"/>
      <w:szCs w:val="20"/>
    </w:rPr>
  </w:style>
  <w:style w:type="character" w:customStyle="1" w:styleId="2Char">
    <w:name w:val="عنوان 2 Char"/>
    <w:basedOn w:val="a0"/>
    <w:link w:val="2"/>
    <w:rsid w:val="000312AC"/>
    <w:rPr>
      <w:rFonts w:ascii="Times New Roman" w:eastAsia="Times New Roman" w:hAnsi="Times New Roman" w:cs="Times New Roman"/>
      <w:i/>
      <w:iCs/>
      <w:sz w:val="20"/>
      <w:szCs w:val="20"/>
    </w:rPr>
  </w:style>
  <w:style w:type="character" w:customStyle="1" w:styleId="3Char">
    <w:name w:val="عنوان 3 Char"/>
    <w:basedOn w:val="a0"/>
    <w:link w:val="3"/>
    <w:rsid w:val="000312AC"/>
    <w:rPr>
      <w:rFonts w:ascii="Times New Roman" w:eastAsia="Times New Roman" w:hAnsi="Times New Roman" w:cs="Times New Roman"/>
      <w:i/>
      <w:iCs/>
      <w:sz w:val="20"/>
      <w:szCs w:val="20"/>
    </w:rPr>
  </w:style>
  <w:style w:type="character" w:customStyle="1" w:styleId="4Char">
    <w:name w:val="عنوان 4 Char"/>
    <w:basedOn w:val="a0"/>
    <w:link w:val="4"/>
    <w:rsid w:val="000312AC"/>
    <w:rPr>
      <w:rFonts w:ascii="Times New Roman" w:eastAsia="Times New Roman" w:hAnsi="Times New Roman" w:cs="Times New Roman"/>
      <w:i/>
      <w:iCs/>
      <w:sz w:val="18"/>
      <w:szCs w:val="18"/>
    </w:rPr>
  </w:style>
  <w:style w:type="character" w:customStyle="1" w:styleId="5Char">
    <w:name w:val="عنوان 5 Char"/>
    <w:basedOn w:val="a0"/>
    <w:link w:val="5"/>
    <w:rsid w:val="000312AC"/>
    <w:rPr>
      <w:rFonts w:ascii="Times New Roman" w:eastAsia="Times New Roman" w:hAnsi="Times New Roman" w:cs="Times New Roman"/>
      <w:sz w:val="18"/>
      <w:szCs w:val="18"/>
    </w:rPr>
  </w:style>
  <w:style w:type="character" w:customStyle="1" w:styleId="6Char">
    <w:name w:val="عنوان 6 Char"/>
    <w:basedOn w:val="a0"/>
    <w:link w:val="6"/>
    <w:rsid w:val="000312AC"/>
    <w:rPr>
      <w:rFonts w:ascii="Times New Roman" w:eastAsia="Times New Roman" w:hAnsi="Times New Roman" w:cs="Times New Roman"/>
      <w:i/>
      <w:iCs/>
      <w:sz w:val="16"/>
      <w:szCs w:val="16"/>
    </w:rPr>
  </w:style>
  <w:style w:type="character" w:customStyle="1" w:styleId="7Char">
    <w:name w:val="عنوان 7 Char"/>
    <w:basedOn w:val="a0"/>
    <w:link w:val="7"/>
    <w:rsid w:val="000312AC"/>
    <w:rPr>
      <w:rFonts w:ascii="Times New Roman" w:eastAsia="Times New Roman" w:hAnsi="Times New Roman" w:cs="Times New Roman"/>
      <w:sz w:val="16"/>
      <w:szCs w:val="16"/>
    </w:rPr>
  </w:style>
  <w:style w:type="character" w:customStyle="1" w:styleId="8Char">
    <w:name w:val="عنوان 8 Char"/>
    <w:basedOn w:val="a0"/>
    <w:link w:val="8"/>
    <w:rsid w:val="000312AC"/>
    <w:rPr>
      <w:rFonts w:ascii="Times New Roman" w:eastAsia="Times New Roman" w:hAnsi="Times New Roman" w:cs="Times New Roman"/>
      <w:i/>
      <w:iCs/>
      <w:sz w:val="16"/>
      <w:szCs w:val="16"/>
    </w:rPr>
  </w:style>
  <w:style w:type="character" w:customStyle="1" w:styleId="9Char">
    <w:name w:val="عنوان 9 Char"/>
    <w:basedOn w:val="a0"/>
    <w:link w:val="9"/>
    <w:rsid w:val="000312AC"/>
    <w:rPr>
      <w:rFonts w:ascii="Times New Roman" w:eastAsia="Times New Roman" w:hAnsi="Times New Roman" w:cs="Times New Roman"/>
      <w:sz w:val="16"/>
      <w:szCs w:val="16"/>
    </w:rPr>
  </w:style>
  <w:style w:type="paragraph" w:customStyle="1" w:styleId="Authors">
    <w:name w:val="Authors"/>
    <w:basedOn w:val="a"/>
    <w:next w:val="a"/>
    <w:rsid w:val="000312AC"/>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paragraph" w:styleId="a3">
    <w:name w:val="Title"/>
    <w:basedOn w:val="a"/>
    <w:next w:val="a"/>
    <w:link w:val="Char"/>
    <w:qFormat/>
    <w:rsid w:val="000312AC"/>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Char">
    <w:name w:val="العنوان Char"/>
    <w:basedOn w:val="a0"/>
    <w:link w:val="a3"/>
    <w:rsid w:val="000312AC"/>
    <w:rPr>
      <w:rFonts w:ascii="Times New Roman" w:eastAsia="Times New Roman" w:hAnsi="Times New Roman" w:cs="Times New Roman"/>
      <w:kern w:val="28"/>
      <w:sz w:val="48"/>
      <w:szCs w:val="48"/>
    </w:rPr>
  </w:style>
  <w:style w:type="paragraph" w:styleId="a4">
    <w:name w:val="header"/>
    <w:basedOn w:val="a"/>
    <w:link w:val="Char1"/>
    <w:uiPriority w:val="99"/>
    <w:unhideWhenUsed/>
    <w:rsid w:val="000312AC"/>
    <w:pPr>
      <w:tabs>
        <w:tab w:val="center" w:pos="4680"/>
        <w:tab w:val="right" w:pos="9360"/>
      </w:tabs>
    </w:pPr>
  </w:style>
  <w:style w:type="character" w:customStyle="1" w:styleId="Char1">
    <w:name w:val="رأس صفحة Char1"/>
    <w:basedOn w:val="a0"/>
    <w:link w:val="a4"/>
    <w:uiPriority w:val="99"/>
    <w:rsid w:val="000312AC"/>
    <w:rPr>
      <w:rFonts w:ascii="Calibri" w:eastAsia="Calibri" w:hAnsi="Calibri" w:cs="Times New Roman"/>
    </w:rPr>
  </w:style>
  <w:style w:type="paragraph" w:styleId="a5">
    <w:name w:val="footer"/>
    <w:basedOn w:val="a"/>
    <w:link w:val="Char0"/>
    <w:uiPriority w:val="99"/>
    <w:unhideWhenUsed/>
    <w:rsid w:val="000312AC"/>
    <w:pPr>
      <w:tabs>
        <w:tab w:val="center" w:pos="4680"/>
        <w:tab w:val="right" w:pos="9360"/>
      </w:tabs>
    </w:pPr>
  </w:style>
  <w:style w:type="character" w:customStyle="1" w:styleId="Char0">
    <w:name w:val="تذييل صفحة Char"/>
    <w:basedOn w:val="a0"/>
    <w:link w:val="a5"/>
    <w:uiPriority w:val="99"/>
    <w:rsid w:val="000312AC"/>
    <w:rPr>
      <w:rFonts w:ascii="Calibri" w:eastAsia="Calibri" w:hAnsi="Calibri" w:cs="Times New Roman"/>
    </w:rPr>
  </w:style>
  <w:style w:type="paragraph" w:styleId="a6">
    <w:name w:val="List Paragraph"/>
    <w:basedOn w:val="a"/>
    <w:uiPriority w:val="34"/>
    <w:qFormat/>
    <w:rsid w:val="000312AC"/>
    <w:pPr>
      <w:bidi/>
      <w:ind w:left="720"/>
      <w:contextualSpacing/>
    </w:pPr>
    <w:rPr>
      <w:rFonts w:cs="Arial"/>
    </w:rPr>
  </w:style>
  <w:style w:type="character" w:styleId="Hyperlink">
    <w:name w:val="Hyperlink"/>
    <w:basedOn w:val="a0"/>
    <w:uiPriority w:val="99"/>
    <w:unhideWhenUsed/>
    <w:rsid w:val="00732935"/>
    <w:rPr>
      <w:color w:val="0000FF" w:themeColor="hyperlink"/>
      <w:u w:val="single"/>
    </w:rPr>
  </w:style>
  <w:style w:type="paragraph" w:styleId="a7">
    <w:name w:val="Balloon Text"/>
    <w:basedOn w:val="a"/>
    <w:link w:val="Char2"/>
    <w:uiPriority w:val="99"/>
    <w:semiHidden/>
    <w:unhideWhenUsed/>
    <w:rsid w:val="000563D5"/>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563D5"/>
    <w:rPr>
      <w:rFonts w:ascii="Tahoma" w:eastAsia="Calibri" w:hAnsi="Tahoma" w:cs="Tahoma"/>
      <w:sz w:val="16"/>
      <w:szCs w:val="16"/>
    </w:rPr>
  </w:style>
  <w:style w:type="paragraph" w:customStyle="1" w:styleId="a8">
    <w:basedOn w:val="a"/>
    <w:next w:val="a4"/>
    <w:link w:val="Char3"/>
    <w:uiPriority w:val="99"/>
    <w:unhideWhenUsed/>
    <w:rsid w:val="00AF5580"/>
    <w:pPr>
      <w:tabs>
        <w:tab w:val="center" w:pos="4153"/>
        <w:tab w:val="right" w:pos="8306"/>
      </w:tabs>
      <w:bidi/>
    </w:pPr>
    <w:rPr>
      <w:rFonts w:asciiTheme="minorHAnsi" w:eastAsiaTheme="minorHAnsi" w:hAnsiTheme="minorHAnsi" w:cstheme="minorBidi"/>
    </w:rPr>
  </w:style>
  <w:style w:type="character" w:customStyle="1" w:styleId="Char3">
    <w:name w:val="رأس صفحة Char"/>
    <w:link w:val="a8"/>
    <w:uiPriority w:val="99"/>
    <w:rsid w:val="00AF558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bmc.kadhum70@gmail.com" TargetMode="External"/><Relationship Id="rId12" Type="http://schemas.openxmlformats.org/officeDocument/2006/relationships/footer" Target="footer2.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chart" Target="charts/chart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9"/>
  <c:chart>
    <c:autoTitleDeleted val="1"/>
    <c:plotArea>
      <c:layout/>
      <c:barChart>
        <c:barDir val="col"/>
        <c:grouping val="clustered"/>
        <c:ser>
          <c:idx val="0"/>
          <c:order val="0"/>
          <c:tx>
            <c:strRef>
              <c:f>Sheet1!$B$1</c:f>
              <c:strCache>
                <c:ptCount val="1"/>
                <c:pt idx="0">
                  <c:v>Sensitivity </c:v>
                </c:pt>
              </c:strCache>
            </c:strRef>
          </c:tx>
          <c:cat>
            <c:strRef>
              <c:f>Sheet1!$A$2:$A$6</c:f>
              <c:strCache>
                <c:ptCount val="5"/>
                <c:pt idx="0">
                  <c:v>AFB smear</c:v>
                </c:pt>
                <c:pt idx="1">
                  <c:v>RT-PCR</c:v>
                </c:pt>
                <c:pt idx="2">
                  <c:v>Culture</c:v>
                </c:pt>
                <c:pt idx="3">
                  <c:v>ICG</c:v>
                </c:pt>
                <c:pt idx="4">
                  <c:v>RT-PCR &amp; AFB Smear</c:v>
                </c:pt>
              </c:strCache>
            </c:strRef>
          </c:cat>
          <c:val>
            <c:numRef>
              <c:f>Sheet1!$B$2:$B$6</c:f>
              <c:numCache>
                <c:formatCode>0%</c:formatCode>
                <c:ptCount val="5"/>
                <c:pt idx="0">
                  <c:v>0.74000000000000088</c:v>
                </c:pt>
                <c:pt idx="1">
                  <c:v>0.88000000000000034</c:v>
                </c:pt>
                <c:pt idx="2">
                  <c:v>0.43000000000000038</c:v>
                </c:pt>
                <c:pt idx="3">
                  <c:v>0.24000000000000021</c:v>
                </c:pt>
                <c:pt idx="4">
                  <c:v>0.99</c:v>
                </c:pt>
              </c:numCache>
            </c:numRef>
          </c:val>
        </c:ser>
        <c:dLbls>
          <c:showVal val="1"/>
        </c:dLbls>
        <c:axId val="55653120"/>
        <c:axId val="55655040"/>
      </c:barChart>
      <c:catAx>
        <c:axId val="55653120"/>
        <c:scaling>
          <c:orientation val="minMax"/>
        </c:scaling>
        <c:axPos val="b"/>
        <c:title>
          <c:tx>
            <c:rich>
              <a:bodyPr/>
              <a:lstStyle/>
              <a:p>
                <a:pPr>
                  <a:defRPr lang="ar-IQ" sz="1005" b="1" i="0" u="none" strike="noStrike" baseline="0">
                    <a:solidFill>
                      <a:srgbClr val="000000"/>
                    </a:solidFill>
                    <a:latin typeface="Calibri"/>
                    <a:ea typeface="Calibri"/>
                    <a:cs typeface="Calibri"/>
                  </a:defRPr>
                </a:pPr>
                <a:r>
                  <a:rPr lang="en-US"/>
                  <a:t>Diagnostic tests</a:t>
                </a:r>
              </a:p>
            </c:rich>
          </c:tx>
        </c:title>
        <c:numFmt formatCode="General" sourceLinked="1"/>
        <c:majorTickMark val="none"/>
        <c:tickLblPos val="nextTo"/>
        <c:txPr>
          <a:bodyPr/>
          <a:lstStyle/>
          <a:p>
            <a:pPr>
              <a:defRPr lang="ar-IQ"/>
            </a:pPr>
            <a:endParaRPr lang="en-US"/>
          </a:p>
        </c:txPr>
        <c:crossAx val="55655040"/>
        <c:crosses val="autoZero"/>
        <c:auto val="1"/>
        <c:lblAlgn val="ctr"/>
        <c:lblOffset val="100"/>
      </c:catAx>
      <c:valAx>
        <c:axId val="55655040"/>
        <c:scaling>
          <c:orientation val="minMax"/>
          <c:max val="1"/>
        </c:scaling>
        <c:axPos val="l"/>
        <c:majorGridlines/>
        <c:title>
          <c:tx>
            <c:rich>
              <a:bodyPr rot="0" vert="horz"/>
              <a:lstStyle/>
              <a:p>
                <a:pPr algn="ctr">
                  <a:defRPr lang="ar-IQ" sz="1005" b="1" i="0" u="none" strike="noStrike" baseline="0">
                    <a:solidFill>
                      <a:srgbClr val="000000"/>
                    </a:solidFill>
                    <a:latin typeface="Calibri"/>
                    <a:ea typeface="Calibri"/>
                    <a:cs typeface="Calibri"/>
                  </a:defRPr>
                </a:pPr>
                <a:r>
                  <a:rPr lang="en-US"/>
                  <a:t>Sensitivity</a:t>
                </a:r>
              </a:p>
            </c:rich>
          </c:tx>
        </c:title>
        <c:numFmt formatCode="0%" sourceLinked="1"/>
        <c:majorTickMark val="none"/>
        <c:tickLblPos val="nextTo"/>
        <c:txPr>
          <a:bodyPr/>
          <a:lstStyle/>
          <a:p>
            <a:pPr>
              <a:defRPr lang="ar-IQ"/>
            </a:pPr>
            <a:endParaRPr lang="en-US"/>
          </a:p>
        </c:txPr>
        <c:crossAx val="55653120"/>
        <c:crosses val="autoZero"/>
        <c:crossBetween val="between"/>
      </c:valAx>
    </c:plotArea>
    <c:plotVisOnly val="1"/>
    <c:dispBlanksAs val="gap"/>
  </c:chart>
  <c:spPr>
    <a:solidFill>
      <a:schemeClr val="lt1"/>
    </a:solidFill>
    <a:ln w="25528"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12</Pages>
  <Words>4792</Words>
  <Characters>27317</Characters>
  <Application>Microsoft Office Word</Application>
  <DocSecurity>0</DocSecurity>
  <Lines>227</Lines>
  <Paragraphs>64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ammar</dc:creator>
  <cp:lastModifiedBy>Dr.Abdulsamie</cp:lastModifiedBy>
  <cp:revision>42</cp:revision>
  <cp:lastPrinted>2013-10-21T06:37:00Z</cp:lastPrinted>
  <dcterms:created xsi:type="dcterms:W3CDTF">2013-07-27T10:20:00Z</dcterms:created>
  <dcterms:modified xsi:type="dcterms:W3CDTF">2014-04-29T21:19:00Z</dcterms:modified>
</cp:coreProperties>
</file>