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75" w:rsidRPr="008615AF" w:rsidRDefault="00EA1875" w:rsidP="00CC27C5">
      <w:pPr>
        <w:pStyle w:val="Title"/>
        <w:pBdr>
          <w:bottom w:val="none" w:sz="0" w:space="0" w:color="auto"/>
        </w:pBdr>
        <w:spacing w:after="0"/>
        <w:jc w:val="center"/>
        <w:rPr>
          <w:rFonts w:ascii="Arial" w:hAnsi="Arial" w:cs="Arial"/>
          <w:b/>
          <w:bCs/>
          <w:color w:val="auto"/>
          <w:spacing w:val="0"/>
          <w:kern w:val="0"/>
          <w:sz w:val="34"/>
          <w:szCs w:val="34"/>
        </w:rPr>
      </w:pPr>
      <w:r w:rsidRPr="008615AF">
        <w:rPr>
          <w:rFonts w:ascii="Arial" w:hAnsi="Arial" w:cs="Arial"/>
          <w:b/>
          <w:bCs/>
          <w:color w:val="auto"/>
          <w:spacing w:val="0"/>
          <w:kern w:val="0"/>
          <w:sz w:val="34"/>
          <w:szCs w:val="34"/>
        </w:rPr>
        <w:t xml:space="preserve">Application of Multivariate Statistical Techniques in the surface water quality Assessment of </w:t>
      </w:r>
      <w:smartTag w:uri="urn:schemas-microsoft-com:office:smarttags" w:element="PlaceName">
        <w:r w:rsidRPr="008615AF">
          <w:rPr>
            <w:rFonts w:ascii="Arial" w:hAnsi="Arial" w:cs="Arial"/>
            <w:b/>
            <w:bCs/>
            <w:color w:val="auto"/>
            <w:spacing w:val="0"/>
            <w:kern w:val="0"/>
            <w:sz w:val="34"/>
            <w:szCs w:val="34"/>
          </w:rPr>
          <w:t>Tigris</w:t>
        </w:r>
      </w:smartTag>
      <w:r w:rsidRPr="008615AF">
        <w:rPr>
          <w:rFonts w:ascii="Arial" w:hAnsi="Arial" w:cs="Arial"/>
          <w:b/>
          <w:bCs/>
          <w:color w:val="auto"/>
          <w:spacing w:val="0"/>
          <w:kern w:val="0"/>
          <w:sz w:val="34"/>
          <w:szCs w:val="34"/>
        </w:rPr>
        <w:t xml:space="preserve"> </w:t>
      </w:r>
      <w:smartTag w:uri="urn:schemas-microsoft-com:office:smarttags" w:element="PlaceType">
        <w:r w:rsidRPr="008615AF">
          <w:rPr>
            <w:rFonts w:ascii="Arial" w:hAnsi="Arial" w:cs="Arial"/>
            <w:b/>
            <w:bCs/>
            <w:color w:val="auto"/>
            <w:spacing w:val="0"/>
            <w:kern w:val="0"/>
            <w:sz w:val="34"/>
            <w:szCs w:val="34"/>
          </w:rPr>
          <w:t>River</w:t>
        </w:r>
      </w:smartTag>
      <w:r w:rsidRPr="008615AF">
        <w:rPr>
          <w:rFonts w:ascii="Arial" w:hAnsi="Arial" w:cs="Arial"/>
          <w:b/>
          <w:bCs/>
          <w:color w:val="auto"/>
          <w:spacing w:val="0"/>
          <w:kern w:val="0"/>
          <w:sz w:val="34"/>
          <w:szCs w:val="34"/>
        </w:rPr>
        <w:t xml:space="preserve"> at </w:t>
      </w:r>
      <w:smartTag w:uri="urn:schemas-microsoft-com:office:smarttags" w:element="City">
        <w:r w:rsidRPr="008615AF">
          <w:rPr>
            <w:rFonts w:ascii="Arial" w:hAnsi="Arial" w:cs="Arial"/>
            <w:b/>
            <w:bCs/>
            <w:color w:val="auto"/>
            <w:spacing w:val="0"/>
            <w:kern w:val="0"/>
            <w:sz w:val="34"/>
            <w:szCs w:val="34"/>
          </w:rPr>
          <w:t>Baghdad</w:t>
        </w:r>
      </w:smartTag>
      <w:r w:rsidRPr="008615AF">
        <w:rPr>
          <w:rFonts w:ascii="Arial" w:hAnsi="Arial" w:cs="Arial"/>
          <w:b/>
          <w:bCs/>
          <w:color w:val="auto"/>
          <w:spacing w:val="0"/>
          <w:kern w:val="0"/>
          <w:sz w:val="34"/>
          <w:szCs w:val="34"/>
        </w:rPr>
        <w:t xml:space="preserve"> stretch, </w:t>
      </w:r>
      <w:smartTag w:uri="urn:schemas-microsoft-com:office:smarttags" w:element="place">
        <w:smartTag w:uri="urn:schemas-microsoft-com:office:smarttags" w:element="country-region">
          <w:r w:rsidRPr="008615AF">
            <w:rPr>
              <w:rFonts w:ascii="Arial" w:hAnsi="Arial" w:cs="Arial"/>
              <w:b/>
              <w:bCs/>
              <w:color w:val="auto"/>
              <w:spacing w:val="0"/>
              <w:kern w:val="0"/>
              <w:sz w:val="34"/>
              <w:szCs w:val="34"/>
            </w:rPr>
            <w:t>Iraq</w:t>
          </w:r>
        </w:smartTag>
      </w:smartTag>
    </w:p>
    <w:p w:rsidR="00EA1875" w:rsidRPr="005B2C41" w:rsidRDefault="00EA1875" w:rsidP="005B2C41">
      <w:pPr>
        <w:rPr>
          <w:sz w:val="14"/>
          <w:szCs w:val="14"/>
        </w:rPr>
      </w:pPr>
    </w:p>
    <w:p w:rsidR="00EA1875" w:rsidRDefault="00EA1875" w:rsidP="00562213">
      <w:pPr>
        <w:pStyle w:val="author"/>
        <w:spacing w:before="0"/>
        <w:jc w:val="center"/>
        <w:rPr>
          <w:b/>
          <w:bCs/>
        </w:rPr>
      </w:pPr>
      <w:r w:rsidRPr="008F1915">
        <w:rPr>
          <w:b/>
          <w:bCs/>
        </w:rPr>
        <w:t>Alhassan H. Ismail</w:t>
      </w:r>
      <w:r>
        <w:rPr>
          <w:b/>
          <w:bCs/>
          <w:vertAlign w:val="superscript"/>
        </w:rPr>
        <w:t xml:space="preserve"> </w:t>
      </w:r>
    </w:p>
    <w:p w:rsidR="00EA1875" w:rsidRPr="00CE6B1E" w:rsidRDefault="00EA1875" w:rsidP="005B2C41">
      <w:pPr>
        <w:pStyle w:val="affiliation"/>
        <w:spacing w:before="0"/>
        <w:jc w:val="center"/>
      </w:pPr>
      <w:r w:rsidRPr="00CE6B1E">
        <w:t>Foundation of technical education, Institute of technology</w:t>
      </w:r>
      <w:r>
        <w:t xml:space="preserve">- </w:t>
      </w:r>
      <w:smartTag w:uri="urn:schemas-microsoft-com:office:smarttags" w:element="City">
        <w:smartTag w:uri="urn:schemas-microsoft-com:office:smarttags" w:element="place">
          <w:r>
            <w:t>Baghdad</w:t>
          </w:r>
        </w:smartTag>
      </w:smartTag>
    </w:p>
    <w:p w:rsidR="00EA1875" w:rsidRDefault="00EA1875" w:rsidP="00562213">
      <w:pPr>
        <w:pStyle w:val="author"/>
        <w:spacing w:before="0"/>
        <w:jc w:val="center"/>
        <w:rPr>
          <w:b/>
          <w:bCs/>
        </w:rPr>
      </w:pPr>
      <w:r>
        <w:t>Hassan19851988@yahoo.com</w:t>
      </w:r>
      <w:r>
        <w:rPr>
          <w:b/>
          <w:bCs/>
        </w:rPr>
        <w:t xml:space="preserve">              </w:t>
      </w:r>
    </w:p>
    <w:p w:rsidR="00EA1875" w:rsidRDefault="00EA1875" w:rsidP="00562213">
      <w:pPr>
        <w:pStyle w:val="author"/>
        <w:spacing w:before="0"/>
        <w:jc w:val="center"/>
        <w:rPr>
          <w:b/>
          <w:bCs/>
        </w:rPr>
      </w:pPr>
      <w:r>
        <w:rPr>
          <w:b/>
          <w:bCs/>
        </w:rPr>
        <w:t>Basim Sh. Abed</w:t>
      </w:r>
      <w:r>
        <w:rPr>
          <w:b/>
          <w:bCs/>
          <w:vertAlign w:val="superscript"/>
        </w:rPr>
        <w:t xml:space="preserve"> </w:t>
      </w:r>
    </w:p>
    <w:p w:rsidR="00EA1875" w:rsidRPr="00CE6B1E" w:rsidRDefault="00EA1875" w:rsidP="005B2C41">
      <w:pPr>
        <w:pStyle w:val="affiliation"/>
        <w:spacing w:before="0"/>
        <w:jc w:val="center"/>
      </w:pPr>
      <w:r w:rsidRPr="00CE6B1E">
        <w:t>Foundation of technical education, Institute of technology</w:t>
      </w:r>
      <w:r>
        <w:t xml:space="preserve">- </w:t>
      </w:r>
      <w:smartTag w:uri="urn:schemas-microsoft-com:office:smarttags" w:element="City">
        <w:smartTag w:uri="urn:schemas-microsoft-com:office:smarttags" w:element="place">
          <w:r>
            <w:t>Baghdad</w:t>
          </w:r>
        </w:smartTag>
      </w:smartTag>
    </w:p>
    <w:p w:rsidR="00EA1875" w:rsidRPr="005B2C41" w:rsidRDefault="00EA1875" w:rsidP="00562213">
      <w:pPr>
        <w:pStyle w:val="author"/>
        <w:spacing w:before="0"/>
        <w:jc w:val="center"/>
      </w:pPr>
      <w:r w:rsidRPr="005B2C41">
        <w:t xml:space="preserve">     Drbsa62@yahoo.com    </w:t>
      </w:r>
    </w:p>
    <w:p w:rsidR="00EA1875" w:rsidRDefault="00EA1875" w:rsidP="00562213">
      <w:pPr>
        <w:pStyle w:val="author"/>
        <w:spacing w:before="0"/>
        <w:jc w:val="center"/>
        <w:rPr>
          <w:b/>
          <w:bCs/>
        </w:rPr>
      </w:pPr>
      <w:r w:rsidRPr="00D91491">
        <w:rPr>
          <w:b/>
          <w:bCs/>
        </w:rPr>
        <w:t>Shahla Abdul-</w:t>
      </w:r>
      <w:r>
        <w:rPr>
          <w:b/>
          <w:bCs/>
        </w:rPr>
        <w:t>Qader</w:t>
      </w:r>
    </w:p>
    <w:p w:rsidR="00EA1875" w:rsidRPr="00CE6B1E" w:rsidRDefault="00EA1875" w:rsidP="005B2C41">
      <w:pPr>
        <w:pStyle w:val="affiliation"/>
        <w:spacing w:before="0"/>
        <w:jc w:val="center"/>
      </w:pPr>
      <w:r w:rsidRPr="00CE6B1E">
        <w:t>Foundation of technical education, Institute of technology</w:t>
      </w:r>
      <w:r>
        <w:t xml:space="preserve">- </w:t>
      </w:r>
      <w:smartTag w:uri="urn:schemas-microsoft-com:office:smarttags" w:element="City">
        <w:smartTag w:uri="urn:schemas-microsoft-com:office:smarttags" w:element="place">
          <w:r>
            <w:t>Baghdad</w:t>
          </w:r>
        </w:smartTag>
      </w:smartTag>
    </w:p>
    <w:p w:rsidR="00EA1875" w:rsidRPr="005B2C41" w:rsidRDefault="00EA1875" w:rsidP="005B2C41">
      <w:pPr>
        <w:pStyle w:val="affiliation"/>
        <w:jc w:val="center"/>
        <w:rPr>
          <w:i w:val="0"/>
          <w:iCs/>
        </w:rPr>
      </w:pPr>
      <w:r>
        <w:rPr>
          <w:i w:val="0"/>
          <w:iCs/>
        </w:rPr>
        <w:t>Shehla_abd2000@yahoo.com</w:t>
      </w:r>
    </w:p>
    <w:p w:rsidR="00EA1875" w:rsidRPr="00562213" w:rsidRDefault="00EA1875" w:rsidP="00562213">
      <w:pPr>
        <w:pStyle w:val="heading2"/>
        <w:spacing w:before="0" w:after="0"/>
        <w:rPr>
          <w:rFonts w:ascii="Times New Roman" w:hAnsi="Times New Roman"/>
          <w:sz w:val="28"/>
          <w:szCs w:val="28"/>
        </w:rPr>
      </w:pPr>
      <w:r w:rsidRPr="00562213">
        <w:rPr>
          <w:rFonts w:ascii="Times New Roman" w:hAnsi="Times New Roman"/>
          <w:sz w:val="28"/>
          <w:szCs w:val="28"/>
        </w:rPr>
        <w:t>Abstract</w:t>
      </w:r>
    </w:p>
    <w:p w:rsidR="00EA1875" w:rsidRPr="00562213" w:rsidRDefault="00EA1875" w:rsidP="00562213">
      <w:pPr>
        <w:pStyle w:val="abstract"/>
        <w:spacing w:before="0"/>
        <w:ind w:firstLine="567"/>
        <w:jc w:val="both"/>
        <w:rPr>
          <w:szCs w:val="20"/>
        </w:rPr>
      </w:pPr>
      <w:r w:rsidRPr="00562213">
        <w:rPr>
          <w:szCs w:val="20"/>
        </w:rPr>
        <w:t xml:space="preserve">Multivariate statistical techniques namely factor analysis and cluster analysis were applied to evaluate spatial variations, and to interpret measured water quality data set in Tigris river at </w:t>
      </w:r>
      <w:smartTag w:uri="urn:schemas-microsoft-com:office:smarttags" w:element="country-region">
        <w:smartTag w:uri="urn:schemas-microsoft-com:office:smarttags" w:element="City">
          <w:smartTag w:uri="urn:schemas-microsoft-com:office:smarttags" w:element="place">
            <w:r w:rsidRPr="00562213">
              <w:rPr>
                <w:szCs w:val="20"/>
              </w:rPr>
              <w:t>Baghdad</w:t>
            </w:r>
          </w:smartTag>
        </w:smartTag>
      </w:smartTag>
      <w:r w:rsidRPr="00562213">
        <w:rPr>
          <w:szCs w:val="20"/>
        </w:rPr>
        <w:t xml:space="preserve">. The water quality was monitored at seven different sites, along the water line, over a period of one year (2011) using 14 water quality parameters. When factor analysis was applied, three factors were identified, which were responsible from the 86.750% of the total variance of the water quality in the </w:t>
      </w:r>
      <w:smartTag w:uri="urn:schemas-microsoft-com:office:smarttags" w:element="country-region">
        <w:smartTag w:uri="urn:schemas-microsoft-com:office:smarttags" w:element="place">
          <w:r w:rsidRPr="00562213">
            <w:rPr>
              <w:szCs w:val="20"/>
            </w:rPr>
            <w:t>Tigris</w:t>
          </w:r>
        </w:smartTag>
      </w:smartTag>
      <w:r w:rsidRPr="00562213">
        <w:rPr>
          <w:szCs w:val="20"/>
        </w:rPr>
        <w:t xml:space="preserve"> river. The first factor called the anthropogenic factor explained 49.829% of the total variance and the second factor called the erosion and rainfall factor explained 24.967% of the total variance. While, the third factor called the pH factor explained 11.954% of the total variance. </w:t>
      </w:r>
      <w:r w:rsidRPr="00562213">
        <w:rPr>
          <w:color w:val="141314"/>
          <w:szCs w:val="20"/>
        </w:rPr>
        <w:t xml:space="preserve">Hierarchical cluster analysis was used to classify seven stations with similar properties and results distinguished three groups of stations. </w:t>
      </w:r>
      <w:r w:rsidRPr="00562213">
        <w:rPr>
          <w:szCs w:val="20"/>
        </w:rPr>
        <w:t xml:space="preserve">Results revealed that, water quality in </w:t>
      </w:r>
      <w:smartTag w:uri="urn:schemas-microsoft-com:office:smarttags" w:element="country-region">
        <w:smartTag w:uri="urn:schemas-microsoft-com:office:smarttags" w:element="place">
          <w:r w:rsidRPr="00562213">
            <w:rPr>
              <w:szCs w:val="20"/>
            </w:rPr>
            <w:t>Tigris</w:t>
          </w:r>
        </w:smartTag>
      </w:smartTag>
      <w:r w:rsidRPr="00562213">
        <w:rPr>
          <w:szCs w:val="20"/>
        </w:rPr>
        <w:t xml:space="preserve"> river was strongly affected from anthropologic influences. Thus, these methods are believed to be valuable to help water resources managers understand complex nature of water quality issues and determine the priorities to improve water quality.</w:t>
      </w:r>
    </w:p>
    <w:p w:rsidR="00EA1875" w:rsidRPr="008615AF" w:rsidRDefault="00EA1875" w:rsidP="00562213">
      <w:pPr>
        <w:pStyle w:val="keywords"/>
        <w:spacing w:before="0"/>
        <w:ind w:left="567" w:hanging="567"/>
        <w:rPr>
          <w:i w:val="0"/>
          <w:iCs/>
          <w:rtl/>
        </w:rPr>
      </w:pPr>
      <w:r w:rsidRPr="008615AF">
        <w:rPr>
          <w:b/>
          <w:bCs/>
          <w:i w:val="0"/>
          <w:iCs/>
          <w:sz w:val="20"/>
          <w:szCs w:val="20"/>
        </w:rPr>
        <w:t>Keywords:</w:t>
      </w:r>
      <w:r w:rsidRPr="008615AF">
        <w:rPr>
          <w:i w:val="0"/>
          <w:iCs/>
          <w:sz w:val="20"/>
          <w:szCs w:val="20"/>
        </w:rPr>
        <w:t xml:space="preserve"> Multivariate statistical techniques, water quality assessment, </w:t>
      </w:r>
      <w:smartTag w:uri="urn:schemas-microsoft-com:office:smarttags" w:element="PlaceName">
        <w:smartTag w:uri="urn:schemas-microsoft-com:office:smarttags" w:element="place">
          <w:smartTag w:uri="urn:schemas-microsoft-com:office:smarttags" w:element="PlaceName">
            <w:r w:rsidRPr="008615AF">
              <w:rPr>
                <w:i w:val="0"/>
                <w:iCs/>
                <w:sz w:val="20"/>
                <w:szCs w:val="20"/>
              </w:rPr>
              <w:t>Tigris</w:t>
            </w:r>
          </w:smartTag>
          <w:r w:rsidRPr="008615AF">
            <w:rPr>
              <w:i w:val="0"/>
              <w:iCs/>
              <w:sz w:val="20"/>
              <w:szCs w:val="20"/>
            </w:rPr>
            <w:t xml:space="preserve"> </w:t>
          </w:r>
          <w:smartTag w:uri="urn:schemas-microsoft-com:office:smarttags" w:element="PlaceType">
            <w:r w:rsidRPr="008615AF">
              <w:rPr>
                <w:i w:val="0"/>
                <w:iCs/>
                <w:sz w:val="20"/>
                <w:szCs w:val="20"/>
              </w:rPr>
              <w:t>River</w:t>
            </w:r>
          </w:smartTag>
        </w:smartTag>
      </w:smartTag>
      <w:r w:rsidRPr="008615AF">
        <w:rPr>
          <w:i w:val="0"/>
          <w:iCs/>
          <w:sz w:val="20"/>
          <w:szCs w:val="20"/>
        </w:rPr>
        <w:t>, Factor analysis, Cluster analysis</w:t>
      </w:r>
      <w:r w:rsidRPr="008615AF">
        <w:rPr>
          <w:i w:val="0"/>
          <w:iCs/>
        </w:rPr>
        <w:t>.</w:t>
      </w:r>
    </w:p>
    <w:p w:rsidR="00EA1875" w:rsidRPr="00562213" w:rsidRDefault="00EA1875" w:rsidP="00562213">
      <w:pPr>
        <w:jc w:val="right"/>
        <w:rPr>
          <w:rFonts w:ascii="Simplified Arabic" w:hAnsi="Simplified Arabic" w:cs="Simplified Arabic"/>
          <w:b/>
          <w:bCs/>
          <w:sz w:val="28"/>
          <w:szCs w:val="28"/>
          <w:rtl/>
          <w:lang w:bidi="ar-IQ"/>
        </w:rPr>
      </w:pPr>
      <w:r w:rsidRPr="00562213">
        <w:rPr>
          <w:rFonts w:ascii="Simplified Arabic" w:hAnsi="Simplified Arabic" w:cs="Simplified Arabic" w:hint="eastAsia"/>
          <w:b/>
          <w:bCs/>
          <w:sz w:val="28"/>
          <w:szCs w:val="28"/>
          <w:rtl/>
          <w:lang w:bidi="ar-IQ"/>
        </w:rPr>
        <w:t>الخلاصة</w:t>
      </w:r>
    </w:p>
    <w:p w:rsidR="00EA1875" w:rsidRDefault="00EA1875" w:rsidP="00562213">
      <w:pPr>
        <w:bidi/>
        <w:jc w:val="both"/>
        <w:rPr>
          <w:rFonts w:ascii="Simplified Arabic" w:hAnsi="Simplified Arabic" w:cs="Simplified Arabic"/>
          <w:sz w:val="20"/>
          <w:szCs w:val="20"/>
          <w:rtl/>
          <w:lang w:bidi="ar-IQ"/>
        </w:rPr>
      </w:pPr>
      <w:r w:rsidRPr="00562213">
        <w:rPr>
          <w:rFonts w:ascii="Simplified Arabic" w:hAnsi="Simplified Arabic" w:cs="Simplified Arabic" w:hint="eastAsia"/>
          <w:sz w:val="20"/>
          <w:szCs w:val="20"/>
          <w:rtl/>
          <w:lang w:bidi="ar-IQ"/>
        </w:rPr>
        <w:t>في</w:t>
      </w:r>
      <w:r w:rsidRPr="00562213">
        <w:rPr>
          <w:rFonts w:ascii="Simplified Arabic" w:hAnsi="Simplified Arabic" w:cs="Simplified Arabic"/>
          <w:sz w:val="20"/>
          <w:szCs w:val="20"/>
          <w:rtl/>
          <w:lang w:bidi="ar-IQ"/>
        </w:rPr>
        <w:t xml:space="preserve"> هذه الدراسة ت</w:t>
      </w:r>
      <w:r w:rsidRPr="00562213">
        <w:rPr>
          <w:rFonts w:ascii="Simplified Arabic" w:hAnsi="Simplified Arabic" w:cs="Simplified Arabic" w:hint="eastAsia"/>
          <w:sz w:val="20"/>
          <w:szCs w:val="20"/>
          <w:rtl/>
          <w:lang w:bidi="ar-IQ"/>
        </w:rPr>
        <w:t>م</w:t>
      </w:r>
      <w:r w:rsidRPr="00562213">
        <w:rPr>
          <w:rFonts w:ascii="Simplified Arabic" w:hAnsi="Simplified Arabic" w:cs="Simplified Arabic"/>
          <w:sz w:val="20"/>
          <w:szCs w:val="20"/>
          <w:rtl/>
          <w:lang w:bidi="ar-IQ"/>
        </w:rPr>
        <w:t xml:space="preserve"> أستخ</w:t>
      </w:r>
      <w:r w:rsidRPr="00562213">
        <w:rPr>
          <w:rFonts w:ascii="Simplified Arabic" w:hAnsi="Simplified Arabic" w:cs="Simplified Arabic" w:hint="eastAsia"/>
          <w:sz w:val="20"/>
          <w:szCs w:val="20"/>
          <w:rtl/>
          <w:lang w:bidi="ar-IQ"/>
        </w:rPr>
        <w:t>دام</w:t>
      </w:r>
      <w:r w:rsidRPr="00562213">
        <w:rPr>
          <w:rFonts w:ascii="Simplified Arabic" w:hAnsi="Simplified Arabic" w:cs="Simplified Arabic"/>
          <w:sz w:val="20"/>
          <w:szCs w:val="20"/>
          <w:rtl/>
          <w:lang w:bidi="ar-IQ"/>
        </w:rPr>
        <w:t xml:space="preserve"> التحليل المتعدد المتغيرات عن طريق تطبيق التحليل العاملي (طريقة ا</w:t>
      </w:r>
      <w:r w:rsidRPr="00562213">
        <w:rPr>
          <w:rFonts w:ascii="Simplified Arabic" w:hAnsi="Simplified Arabic" w:cs="Simplified Arabic" w:hint="eastAsia"/>
          <w:sz w:val="20"/>
          <w:szCs w:val="20"/>
          <w:rtl/>
          <w:lang w:bidi="ar-IQ"/>
        </w:rPr>
        <w:t>لمركبات</w:t>
      </w:r>
      <w:r w:rsidRPr="00562213">
        <w:rPr>
          <w:rFonts w:ascii="Simplified Arabic" w:hAnsi="Simplified Arabic" w:cs="Simplified Arabic"/>
          <w:sz w:val="20"/>
          <w:szCs w:val="20"/>
          <w:rtl/>
          <w:lang w:bidi="ar-IQ"/>
        </w:rPr>
        <w:t xml:space="preserve"> الأساسية) والتحليل العنقودي لمعرفة الت</w:t>
      </w:r>
      <w:r w:rsidRPr="00562213">
        <w:rPr>
          <w:rFonts w:ascii="Simplified Arabic" w:hAnsi="Simplified Arabic" w:cs="Simplified Arabic" w:hint="eastAsia"/>
          <w:sz w:val="20"/>
          <w:szCs w:val="20"/>
          <w:rtl/>
          <w:lang w:bidi="ar-IQ"/>
        </w:rPr>
        <w:t>غيرات</w:t>
      </w:r>
      <w:r w:rsidRPr="00562213">
        <w:rPr>
          <w:rFonts w:ascii="Simplified Arabic" w:hAnsi="Simplified Arabic" w:cs="Simplified Arabic"/>
          <w:sz w:val="20"/>
          <w:szCs w:val="20"/>
          <w:rtl/>
          <w:lang w:bidi="ar-IQ"/>
        </w:rPr>
        <w:t xml:space="preserve"> ال</w:t>
      </w:r>
      <w:r w:rsidRPr="00562213">
        <w:rPr>
          <w:rFonts w:ascii="Simplified Arabic" w:hAnsi="Simplified Arabic" w:cs="Simplified Arabic" w:hint="eastAsia"/>
          <w:sz w:val="20"/>
          <w:szCs w:val="20"/>
          <w:rtl/>
          <w:lang w:bidi="ar-IQ"/>
        </w:rPr>
        <w:t>مكانية</w:t>
      </w:r>
      <w:r w:rsidRPr="00562213">
        <w:rPr>
          <w:rFonts w:ascii="Simplified Arabic" w:hAnsi="Simplified Arabic" w:cs="Simplified Arabic"/>
          <w:sz w:val="20"/>
          <w:szCs w:val="20"/>
          <w:rtl/>
          <w:lang w:bidi="ar-IQ"/>
        </w:rPr>
        <w:t xml:space="preserve"> و</w:t>
      </w:r>
      <w:r w:rsidRPr="00562213">
        <w:rPr>
          <w:rFonts w:ascii="Simplified Arabic" w:hAnsi="Simplified Arabic" w:cs="Simplified Arabic" w:hint="eastAsia"/>
          <w:sz w:val="20"/>
          <w:szCs w:val="20"/>
          <w:rtl/>
          <w:lang w:bidi="ar-IQ"/>
        </w:rPr>
        <w:t>أعطاء</w:t>
      </w:r>
      <w:r w:rsidRPr="00562213">
        <w:rPr>
          <w:rFonts w:ascii="Simplified Arabic" w:hAnsi="Simplified Arabic" w:cs="Simplified Arabic"/>
          <w:sz w:val="20"/>
          <w:szCs w:val="20"/>
          <w:rtl/>
          <w:lang w:bidi="ar-IQ"/>
        </w:rPr>
        <w:t xml:space="preserve"> تفسير لبيانات نوعية المياه المقاسة على ن</w:t>
      </w:r>
      <w:r w:rsidRPr="00562213">
        <w:rPr>
          <w:rFonts w:ascii="Simplified Arabic" w:hAnsi="Simplified Arabic" w:cs="Simplified Arabic" w:hint="eastAsia"/>
          <w:sz w:val="20"/>
          <w:szCs w:val="20"/>
          <w:rtl/>
          <w:lang w:bidi="ar-IQ"/>
        </w:rPr>
        <w:t>هر</w:t>
      </w:r>
      <w:r w:rsidRPr="00562213">
        <w:rPr>
          <w:rFonts w:ascii="Simplified Arabic" w:hAnsi="Simplified Arabic" w:cs="Simplified Arabic"/>
          <w:sz w:val="20"/>
          <w:szCs w:val="20"/>
          <w:rtl/>
          <w:lang w:bidi="ar-IQ"/>
        </w:rPr>
        <w:t xml:space="preserve"> د</w:t>
      </w:r>
      <w:r w:rsidRPr="00562213">
        <w:rPr>
          <w:rFonts w:ascii="Simplified Arabic" w:hAnsi="Simplified Arabic" w:cs="Simplified Arabic" w:hint="eastAsia"/>
          <w:sz w:val="20"/>
          <w:szCs w:val="20"/>
          <w:rtl/>
          <w:lang w:bidi="ar-IQ"/>
        </w:rPr>
        <w:t>جلة</w:t>
      </w:r>
      <w:r w:rsidRPr="00562213">
        <w:rPr>
          <w:rFonts w:ascii="Simplified Arabic" w:hAnsi="Simplified Arabic" w:cs="Simplified Arabic"/>
          <w:sz w:val="20"/>
          <w:szCs w:val="20"/>
          <w:rtl/>
          <w:lang w:bidi="ar-IQ"/>
        </w:rPr>
        <w:t xml:space="preserve"> في بغداد. </w:t>
      </w:r>
      <w:r w:rsidRPr="00562213">
        <w:rPr>
          <w:rFonts w:ascii="Simplified Arabic" w:hAnsi="Simplified Arabic" w:cs="Simplified Arabic" w:hint="eastAsia"/>
          <w:sz w:val="20"/>
          <w:szCs w:val="20"/>
          <w:rtl/>
          <w:lang w:bidi="ar-IQ"/>
        </w:rPr>
        <w:t>تم</w:t>
      </w:r>
      <w:r w:rsidRPr="00562213">
        <w:rPr>
          <w:rFonts w:ascii="Simplified Arabic" w:hAnsi="Simplified Arabic" w:cs="Simplified Arabic"/>
          <w:sz w:val="20"/>
          <w:szCs w:val="20"/>
          <w:rtl/>
          <w:lang w:bidi="ar-IQ"/>
        </w:rPr>
        <w:t xml:space="preserve"> رصد </w:t>
      </w:r>
      <w:r w:rsidRPr="00562213">
        <w:rPr>
          <w:rFonts w:ascii="Simplified Arabic" w:hAnsi="Simplified Arabic" w:cs="Simplified Arabic" w:hint="eastAsia"/>
          <w:sz w:val="20"/>
          <w:szCs w:val="20"/>
          <w:rtl/>
          <w:lang w:bidi="ar-IQ"/>
        </w:rPr>
        <w:t>نوعية</w:t>
      </w:r>
      <w:r w:rsidRPr="00562213">
        <w:rPr>
          <w:rFonts w:ascii="Simplified Arabic" w:hAnsi="Simplified Arabic" w:cs="Simplified Arabic"/>
          <w:sz w:val="20"/>
          <w:szCs w:val="20"/>
          <w:rtl/>
          <w:lang w:bidi="ar-IQ"/>
        </w:rPr>
        <w:t xml:space="preserve"> المياه عن طريق </w:t>
      </w:r>
      <w:r w:rsidRPr="00562213">
        <w:rPr>
          <w:rFonts w:ascii="Simplified Arabic" w:hAnsi="Simplified Arabic" w:cs="Simplified Arabic" w:hint="eastAsia"/>
          <w:sz w:val="20"/>
          <w:szCs w:val="20"/>
          <w:rtl/>
          <w:lang w:bidi="ar-IQ"/>
        </w:rPr>
        <w:t>سبعة</w:t>
      </w:r>
      <w:r w:rsidRPr="00562213">
        <w:rPr>
          <w:rFonts w:ascii="Simplified Arabic" w:hAnsi="Simplified Arabic" w:cs="Simplified Arabic"/>
          <w:sz w:val="20"/>
          <w:szCs w:val="20"/>
          <w:rtl/>
          <w:lang w:bidi="ar-IQ"/>
        </w:rPr>
        <w:t xml:space="preserve"> مواقع م</w:t>
      </w:r>
      <w:r w:rsidRPr="00562213">
        <w:rPr>
          <w:rFonts w:ascii="Simplified Arabic" w:hAnsi="Simplified Arabic" w:cs="Simplified Arabic" w:hint="eastAsia"/>
          <w:sz w:val="20"/>
          <w:szCs w:val="20"/>
          <w:rtl/>
          <w:lang w:bidi="ar-IQ"/>
        </w:rPr>
        <w:t>ختلفة</w:t>
      </w:r>
      <w:r w:rsidRPr="00562213">
        <w:rPr>
          <w:rFonts w:ascii="Simplified Arabic" w:hAnsi="Simplified Arabic" w:cs="Simplified Arabic"/>
          <w:sz w:val="20"/>
          <w:szCs w:val="20"/>
          <w:rtl/>
          <w:lang w:bidi="ar-IQ"/>
        </w:rPr>
        <w:t xml:space="preserve"> </w:t>
      </w:r>
      <w:r w:rsidRPr="00562213">
        <w:rPr>
          <w:rFonts w:ascii="Simplified Arabic" w:hAnsi="Simplified Arabic" w:cs="Simplified Arabic" w:hint="eastAsia"/>
          <w:sz w:val="20"/>
          <w:szCs w:val="20"/>
          <w:rtl/>
          <w:lang w:bidi="ar-IQ"/>
        </w:rPr>
        <w:t>على</w:t>
      </w:r>
      <w:r w:rsidRPr="00562213">
        <w:rPr>
          <w:rFonts w:ascii="Simplified Arabic" w:hAnsi="Simplified Arabic" w:cs="Simplified Arabic"/>
          <w:sz w:val="20"/>
          <w:szCs w:val="20"/>
          <w:rtl/>
          <w:lang w:bidi="ar-IQ"/>
        </w:rPr>
        <w:t xml:space="preserve"> طول النهر لفترة سنة واحدة (2011) بأستخدام 14 عنصرا من متغيرات نوعية ا</w:t>
      </w:r>
      <w:r w:rsidRPr="00562213">
        <w:rPr>
          <w:rFonts w:ascii="Simplified Arabic" w:hAnsi="Simplified Arabic" w:cs="Simplified Arabic" w:hint="eastAsia"/>
          <w:sz w:val="20"/>
          <w:szCs w:val="20"/>
          <w:rtl/>
          <w:lang w:bidi="ar-IQ"/>
        </w:rPr>
        <w:t>لمياه</w:t>
      </w:r>
      <w:r w:rsidRPr="00562213">
        <w:rPr>
          <w:rFonts w:ascii="Simplified Arabic" w:hAnsi="Simplified Arabic" w:cs="Simplified Arabic"/>
          <w:sz w:val="20"/>
          <w:szCs w:val="20"/>
          <w:rtl/>
          <w:lang w:bidi="ar-IQ"/>
        </w:rPr>
        <w:t xml:space="preserve">. عند تطبيق التحليل العاملي، حددت ثلاثة عوامل، وهي مسؤولة عن 86.75% من التباين الكلي </w:t>
      </w:r>
      <w:r w:rsidRPr="00562213">
        <w:rPr>
          <w:rFonts w:ascii="Simplified Arabic" w:hAnsi="Simplified Arabic" w:cs="Simplified Arabic" w:hint="eastAsia"/>
          <w:sz w:val="20"/>
          <w:szCs w:val="20"/>
          <w:rtl/>
          <w:lang w:bidi="ar-IQ"/>
        </w:rPr>
        <w:t>لنوعية</w:t>
      </w:r>
      <w:r w:rsidRPr="00562213">
        <w:rPr>
          <w:rFonts w:ascii="Simplified Arabic" w:hAnsi="Simplified Arabic" w:cs="Simplified Arabic"/>
          <w:sz w:val="20"/>
          <w:szCs w:val="20"/>
          <w:rtl/>
          <w:lang w:bidi="ar-IQ"/>
        </w:rPr>
        <w:t xml:space="preserve"> المياه لنهر دجلة. وقد سمي العامل الاول (بشري المصدر) والذي يفسر 49.829% من التباين الكلي والعامل الثاني يسمى عامل ا</w:t>
      </w:r>
      <w:r w:rsidRPr="00562213">
        <w:rPr>
          <w:rFonts w:ascii="Simplified Arabic" w:hAnsi="Simplified Arabic" w:cs="Simplified Arabic" w:hint="eastAsia"/>
          <w:sz w:val="20"/>
          <w:szCs w:val="20"/>
          <w:rtl/>
          <w:lang w:bidi="ar-IQ"/>
        </w:rPr>
        <w:t>لتعرية</w:t>
      </w:r>
      <w:r w:rsidRPr="00562213">
        <w:rPr>
          <w:rFonts w:ascii="Simplified Arabic" w:hAnsi="Simplified Arabic" w:cs="Simplified Arabic"/>
          <w:sz w:val="20"/>
          <w:szCs w:val="20"/>
          <w:rtl/>
          <w:lang w:bidi="ar-IQ"/>
        </w:rPr>
        <w:t xml:space="preserve"> وهطول الامطار </w:t>
      </w:r>
      <w:r w:rsidRPr="00562213">
        <w:rPr>
          <w:rFonts w:ascii="Simplified Arabic" w:hAnsi="Simplified Arabic" w:cs="Simplified Arabic" w:hint="eastAsia"/>
          <w:sz w:val="20"/>
          <w:szCs w:val="20"/>
          <w:rtl/>
          <w:lang w:bidi="ar-IQ"/>
        </w:rPr>
        <w:t>حيث</w:t>
      </w:r>
      <w:r w:rsidRPr="00562213">
        <w:rPr>
          <w:rFonts w:ascii="Simplified Arabic" w:hAnsi="Simplified Arabic" w:cs="Simplified Arabic"/>
          <w:sz w:val="20"/>
          <w:szCs w:val="20"/>
          <w:rtl/>
          <w:lang w:bidi="ar-IQ"/>
        </w:rPr>
        <w:t xml:space="preserve"> يفسر 24.967% من التباين الكلي، اما العامل الثالث وهو عامل الاس الهيدروجيني يفسر 11.954% من التباين الكلي. كما </w:t>
      </w:r>
      <w:r w:rsidRPr="00562213">
        <w:rPr>
          <w:rFonts w:ascii="Simplified Arabic" w:hAnsi="Simplified Arabic" w:cs="Simplified Arabic" w:hint="eastAsia"/>
          <w:sz w:val="20"/>
          <w:szCs w:val="20"/>
          <w:rtl/>
        </w:rPr>
        <w:t>تم</w:t>
      </w:r>
      <w:r w:rsidRPr="00562213">
        <w:rPr>
          <w:rFonts w:ascii="Simplified Arabic" w:hAnsi="Simplified Arabic" w:cs="Simplified Arabic"/>
          <w:sz w:val="20"/>
          <w:szCs w:val="20"/>
          <w:rtl/>
        </w:rPr>
        <w:t xml:space="preserve"> است</w:t>
      </w:r>
      <w:r w:rsidRPr="00562213">
        <w:rPr>
          <w:rFonts w:ascii="Simplified Arabic" w:hAnsi="Simplified Arabic" w:cs="Simplified Arabic" w:hint="eastAsia"/>
          <w:sz w:val="20"/>
          <w:szCs w:val="20"/>
          <w:rtl/>
        </w:rPr>
        <w:t>خدام</w:t>
      </w:r>
      <w:r w:rsidRPr="00562213">
        <w:rPr>
          <w:rFonts w:ascii="Simplified Arabic" w:hAnsi="Simplified Arabic" w:cs="Simplified Arabic"/>
          <w:sz w:val="20"/>
          <w:szCs w:val="20"/>
          <w:rtl/>
        </w:rPr>
        <w:t xml:space="preserve"> ال</w:t>
      </w:r>
      <w:r w:rsidRPr="00562213">
        <w:rPr>
          <w:rFonts w:ascii="Simplified Arabic" w:hAnsi="Simplified Arabic" w:cs="Simplified Arabic" w:hint="eastAsia"/>
          <w:sz w:val="20"/>
          <w:szCs w:val="20"/>
          <w:rtl/>
        </w:rPr>
        <w:t>تحليل</w:t>
      </w:r>
      <w:r w:rsidRPr="00562213">
        <w:rPr>
          <w:rFonts w:ascii="Simplified Arabic" w:hAnsi="Simplified Arabic" w:cs="Simplified Arabic"/>
          <w:sz w:val="20"/>
          <w:szCs w:val="20"/>
          <w:rtl/>
        </w:rPr>
        <w:t xml:space="preserve"> العنقودي الهرمي </w:t>
      </w:r>
      <w:r w:rsidRPr="00562213">
        <w:rPr>
          <w:rFonts w:ascii="Simplified Arabic" w:hAnsi="Simplified Arabic" w:cs="Simplified Arabic" w:hint="eastAsia"/>
          <w:sz w:val="20"/>
          <w:szCs w:val="20"/>
          <w:rtl/>
          <w:lang w:bidi="ar-IQ"/>
        </w:rPr>
        <w:t>لتصنيف</w:t>
      </w:r>
      <w:r w:rsidRPr="00562213">
        <w:rPr>
          <w:rFonts w:ascii="Simplified Arabic" w:hAnsi="Simplified Arabic" w:cs="Simplified Arabic"/>
          <w:sz w:val="20"/>
          <w:szCs w:val="20"/>
          <w:rtl/>
          <w:lang w:bidi="ar-IQ"/>
        </w:rPr>
        <w:t xml:space="preserve"> السبع محطات مع خصائصها المماثلة </w:t>
      </w:r>
      <w:r w:rsidRPr="00562213">
        <w:rPr>
          <w:rFonts w:ascii="Simplified Arabic" w:hAnsi="Simplified Arabic" w:cs="Simplified Arabic" w:hint="eastAsia"/>
          <w:sz w:val="20"/>
          <w:szCs w:val="20"/>
          <w:rtl/>
          <w:lang w:bidi="ar-IQ"/>
        </w:rPr>
        <w:t>وأظهرت</w:t>
      </w:r>
      <w:r w:rsidRPr="00562213">
        <w:rPr>
          <w:rFonts w:ascii="Simplified Arabic" w:hAnsi="Simplified Arabic" w:cs="Simplified Arabic"/>
          <w:sz w:val="20"/>
          <w:szCs w:val="20"/>
          <w:rtl/>
          <w:lang w:bidi="ar-IQ"/>
        </w:rPr>
        <w:t xml:space="preserve"> ال</w:t>
      </w:r>
      <w:r w:rsidRPr="00562213">
        <w:rPr>
          <w:rFonts w:ascii="Simplified Arabic" w:hAnsi="Simplified Arabic" w:cs="Simplified Arabic" w:hint="eastAsia"/>
          <w:sz w:val="20"/>
          <w:szCs w:val="20"/>
          <w:rtl/>
          <w:lang w:bidi="ar-IQ"/>
        </w:rPr>
        <w:t>نتائج</w:t>
      </w:r>
      <w:r w:rsidRPr="00562213">
        <w:rPr>
          <w:rFonts w:ascii="Simplified Arabic" w:hAnsi="Simplified Arabic" w:cs="Simplified Arabic"/>
          <w:sz w:val="20"/>
          <w:szCs w:val="20"/>
          <w:rtl/>
          <w:lang w:bidi="ar-IQ"/>
        </w:rPr>
        <w:t xml:space="preserve"> ثلاث مجموعات من المحطات. كشفت نتا</w:t>
      </w:r>
      <w:r w:rsidRPr="00562213">
        <w:rPr>
          <w:rFonts w:ascii="Simplified Arabic" w:hAnsi="Simplified Arabic" w:cs="Simplified Arabic" w:hint="eastAsia"/>
          <w:sz w:val="20"/>
          <w:szCs w:val="20"/>
          <w:rtl/>
          <w:lang w:bidi="ar-IQ"/>
        </w:rPr>
        <w:t>ئج</w:t>
      </w:r>
      <w:r w:rsidRPr="00562213">
        <w:rPr>
          <w:rFonts w:ascii="Simplified Arabic" w:hAnsi="Simplified Arabic" w:cs="Simplified Arabic"/>
          <w:sz w:val="20"/>
          <w:szCs w:val="20"/>
          <w:rtl/>
          <w:lang w:bidi="ar-IQ"/>
        </w:rPr>
        <w:t xml:space="preserve"> الدراسة ان نوعية مياه نهر دجلة تتأثر بشدة بالعو</w:t>
      </w:r>
      <w:r w:rsidRPr="00562213">
        <w:rPr>
          <w:rFonts w:ascii="Simplified Arabic" w:hAnsi="Simplified Arabic" w:cs="Simplified Arabic" w:hint="eastAsia"/>
          <w:sz w:val="20"/>
          <w:szCs w:val="20"/>
          <w:rtl/>
          <w:lang w:bidi="ar-IQ"/>
        </w:rPr>
        <w:t>امل</w:t>
      </w:r>
      <w:r w:rsidRPr="00562213">
        <w:rPr>
          <w:rFonts w:ascii="Simplified Arabic" w:hAnsi="Simplified Arabic" w:cs="Simplified Arabic"/>
          <w:sz w:val="20"/>
          <w:szCs w:val="20"/>
          <w:rtl/>
          <w:lang w:bidi="ar-IQ"/>
        </w:rPr>
        <w:t xml:space="preserve"> البشرية. وبالتالي ممكن ان ت</w:t>
      </w:r>
      <w:r w:rsidRPr="00562213">
        <w:rPr>
          <w:rFonts w:ascii="Simplified Arabic" w:hAnsi="Simplified Arabic" w:cs="Simplified Arabic" w:hint="eastAsia"/>
          <w:sz w:val="20"/>
          <w:szCs w:val="20"/>
          <w:rtl/>
          <w:lang w:bidi="ar-IQ"/>
        </w:rPr>
        <w:t>كون</w:t>
      </w:r>
      <w:r w:rsidRPr="00562213">
        <w:rPr>
          <w:rFonts w:ascii="Simplified Arabic" w:hAnsi="Simplified Arabic" w:cs="Simplified Arabic"/>
          <w:sz w:val="20"/>
          <w:szCs w:val="20"/>
          <w:rtl/>
          <w:lang w:bidi="ar-IQ"/>
        </w:rPr>
        <w:t xml:space="preserve"> هذه الطرق/الاساليب ذات قيمة </w:t>
      </w:r>
      <w:r w:rsidRPr="00562213">
        <w:rPr>
          <w:rFonts w:ascii="Simplified Arabic" w:hAnsi="Simplified Arabic" w:cs="Simplified Arabic" w:hint="eastAsia"/>
          <w:sz w:val="20"/>
          <w:szCs w:val="20"/>
          <w:rtl/>
          <w:lang w:bidi="ar-IQ"/>
        </w:rPr>
        <w:t>لمساعدة</w:t>
      </w:r>
      <w:r w:rsidRPr="00562213">
        <w:rPr>
          <w:rFonts w:ascii="Simplified Arabic" w:hAnsi="Simplified Arabic" w:cs="Simplified Arabic"/>
          <w:sz w:val="20"/>
          <w:szCs w:val="20"/>
          <w:rtl/>
          <w:lang w:bidi="ar-IQ"/>
        </w:rPr>
        <w:t xml:space="preserve"> </w:t>
      </w:r>
      <w:r w:rsidRPr="00562213">
        <w:rPr>
          <w:rFonts w:ascii="Simplified Arabic" w:hAnsi="Simplified Arabic" w:cs="Simplified Arabic" w:hint="eastAsia"/>
          <w:sz w:val="20"/>
          <w:szCs w:val="20"/>
          <w:rtl/>
          <w:lang w:bidi="ar-IQ"/>
        </w:rPr>
        <w:t>العاملين</w:t>
      </w:r>
      <w:r w:rsidRPr="00562213">
        <w:rPr>
          <w:rFonts w:ascii="Simplified Arabic" w:hAnsi="Simplified Arabic" w:cs="Simplified Arabic"/>
          <w:sz w:val="20"/>
          <w:szCs w:val="20"/>
          <w:rtl/>
          <w:lang w:bidi="ar-IQ"/>
        </w:rPr>
        <w:t xml:space="preserve"> في الموارد المائية في فهم ال</w:t>
      </w:r>
      <w:r w:rsidRPr="00562213">
        <w:rPr>
          <w:rFonts w:ascii="Simplified Arabic" w:hAnsi="Simplified Arabic" w:cs="Simplified Arabic" w:hint="eastAsia"/>
          <w:sz w:val="20"/>
          <w:szCs w:val="20"/>
          <w:rtl/>
          <w:lang w:bidi="ar-IQ"/>
        </w:rPr>
        <w:t>طبيعة</w:t>
      </w:r>
      <w:r w:rsidRPr="00562213">
        <w:rPr>
          <w:rFonts w:ascii="Simplified Arabic" w:hAnsi="Simplified Arabic" w:cs="Simplified Arabic"/>
          <w:sz w:val="20"/>
          <w:szCs w:val="20"/>
          <w:rtl/>
          <w:lang w:bidi="ar-IQ"/>
        </w:rPr>
        <w:t xml:space="preserve"> المعقدة للقضايا وتحديد الأولويات لتحسي</w:t>
      </w:r>
      <w:r w:rsidRPr="00562213">
        <w:rPr>
          <w:rFonts w:ascii="Simplified Arabic" w:hAnsi="Simplified Arabic" w:cs="Simplified Arabic" w:hint="eastAsia"/>
          <w:sz w:val="20"/>
          <w:szCs w:val="20"/>
          <w:rtl/>
          <w:lang w:bidi="ar-IQ"/>
        </w:rPr>
        <w:t>ن</w:t>
      </w:r>
      <w:r w:rsidRPr="00562213">
        <w:rPr>
          <w:rFonts w:ascii="Simplified Arabic" w:hAnsi="Simplified Arabic" w:cs="Simplified Arabic"/>
          <w:sz w:val="20"/>
          <w:szCs w:val="20"/>
          <w:rtl/>
          <w:lang w:bidi="ar-IQ"/>
        </w:rPr>
        <w:t xml:space="preserve"> نوع</w:t>
      </w:r>
      <w:r w:rsidRPr="00562213">
        <w:rPr>
          <w:rFonts w:ascii="Simplified Arabic" w:hAnsi="Simplified Arabic" w:cs="Simplified Arabic" w:hint="eastAsia"/>
          <w:sz w:val="20"/>
          <w:szCs w:val="20"/>
          <w:rtl/>
          <w:lang w:bidi="ar-IQ"/>
        </w:rPr>
        <w:t>ية</w:t>
      </w:r>
      <w:r w:rsidRPr="00562213">
        <w:rPr>
          <w:rFonts w:ascii="Simplified Arabic" w:hAnsi="Simplified Arabic" w:cs="Simplified Arabic"/>
          <w:sz w:val="20"/>
          <w:szCs w:val="20"/>
          <w:rtl/>
          <w:lang w:bidi="ar-IQ"/>
        </w:rPr>
        <w:t xml:space="preserve"> المياه.</w:t>
      </w:r>
    </w:p>
    <w:p w:rsidR="00EA1875" w:rsidRDefault="00EA1875" w:rsidP="008615AF">
      <w:pPr>
        <w:bidi/>
        <w:jc w:val="both"/>
        <w:rPr>
          <w:rFonts w:ascii="Simplified Arabic" w:hAnsi="Simplified Arabic" w:cs="Simplified Arabic"/>
          <w:sz w:val="20"/>
          <w:szCs w:val="20"/>
          <w:rtl/>
          <w:lang w:bidi="ar-IQ"/>
        </w:rPr>
      </w:pPr>
      <w:r w:rsidRPr="008615AF">
        <w:rPr>
          <w:rFonts w:ascii="Simplified Arabic" w:hAnsi="Simplified Arabic" w:cs="Simplified Arabic" w:hint="eastAsia"/>
          <w:b/>
          <w:bCs/>
          <w:sz w:val="20"/>
          <w:szCs w:val="20"/>
          <w:rtl/>
          <w:lang w:bidi="ar-IQ"/>
        </w:rPr>
        <w:t>الكلمات</w:t>
      </w:r>
      <w:r w:rsidRPr="008615AF">
        <w:rPr>
          <w:rFonts w:ascii="Simplified Arabic" w:hAnsi="Simplified Arabic" w:cs="Simplified Arabic"/>
          <w:b/>
          <w:bCs/>
          <w:sz w:val="20"/>
          <w:szCs w:val="20"/>
          <w:rtl/>
          <w:lang w:bidi="ar-IQ"/>
        </w:rPr>
        <w:t xml:space="preserve"> المفتاحية: </w:t>
      </w:r>
      <w:r w:rsidRPr="008615AF">
        <w:rPr>
          <w:rStyle w:val="hps"/>
          <w:sz w:val="20"/>
          <w:szCs w:val="20"/>
          <w:rtl/>
        </w:rPr>
        <w:t>الأساليب الإحصائية</w:t>
      </w:r>
      <w:r w:rsidRPr="008615AF">
        <w:rPr>
          <w:sz w:val="20"/>
          <w:szCs w:val="20"/>
        </w:rPr>
        <w:t xml:space="preserve"> </w:t>
      </w:r>
      <w:r w:rsidRPr="008615AF">
        <w:rPr>
          <w:rStyle w:val="hps"/>
          <w:sz w:val="20"/>
          <w:szCs w:val="20"/>
          <w:rtl/>
        </w:rPr>
        <w:t>متعدد المتغيرات</w:t>
      </w:r>
      <w:r w:rsidRPr="008615AF">
        <w:rPr>
          <w:sz w:val="20"/>
          <w:szCs w:val="20"/>
          <w:rtl/>
        </w:rPr>
        <w:t>، وتقييم</w:t>
      </w:r>
      <w:r w:rsidRPr="008615AF">
        <w:rPr>
          <w:sz w:val="20"/>
          <w:szCs w:val="20"/>
        </w:rPr>
        <w:t xml:space="preserve"> </w:t>
      </w:r>
      <w:r w:rsidRPr="008615AF">
        <w:rPr>
          <w:rStyle w:val="hps"/>
          <w:sz w:val="20"/>
          <w:szCs w:val="20"/>
          <w:rtl/>
        </w:rPr>
        <w:t>نوعية المياه، و</w:t>
      </w:r>
      <w:r w:rsidRPr="008615AF">
        <w:rPr>
          <w:sz w:val="20"/>
          <w:szCs w:val="20"/>
          <w:rtl/>
        </w:rPr>
        <w:t>نهر دجلة،</w:t>
      </w:r>
      <w:r w:rsidRPr="008615AF">
        <w:rPr>
          <w:sz w:val="20"/>
          <w:szCs w:val="20"/>
        </w:rPr>
        <w:t xml:space="preserve"> </w:t>
      </w:r>
      <w:r w:rsidRPr="008615AF">
        <w:rPr>
          <w:rStyle w:val="hps"/>
          <w:sz w:val="20"/>
          <w:szCs w:val="20"/>
          <w:rtl/>
        </w:rPr>
        <w:t>التحليل العاملي</w:t>
      </w:r>
      <w:r w:rsidRPr="008615AF">
        <w:rPr>
          <w:sz w:val="20"/>
          <w:szCs w:val="20"/>
          <w:rtl/>
        </w:rPr>
        <w:t>، وتحليل</w:t>
      </w:r>
      <w:r w:rsidRPr="008615AF">
        <w:rPr>
          <w:sz w:val="20"/>
          <w:szCs w:val="20"/>
        </w:rPr>
        <w:t xml:space="preserve"> </w:t>
      </w:r>
      <w:r w:rsidRPr="008615AF">
        <w:rPr>
          <w:rStyle w:val="hps"/>
          <w:sz w:val="20"/>
          <w:szCs w:val="20"/>
          <w:rtl/>
        </w:rPr>
        <w:t>الكتلة</w:t>
      </w:r>
    </w:p>
    <w:p w:rsidR="00EA1875" w:rsidRPr="008615AF" w:rsidRDefault="00EA1875" w:rsidP="008615AF">
      <w:pPr>
        <w:bidi/>
        <w:jc w:val="both"/>
        <w:rPr>
          <w:rFonts w:ascii="Simplified Arabic" w:hAnsi="Simplified Arabic" w:cs="Simplified Arabic"/>
          <w:sz w:val="20"/>
          <w:szCs w:val="20"/>
          <w:rtl/>
          <w:lang w:bidi="ar-IQ"/>
        </w:rPr>
      </w:pPr>
    </w:p>
    <w:p w:rsidR="00EA1875" w:rsidRPr="00562213" w:rsidRDefault="00EA1875" w:rsidP="00562213">
      <w:pPr>
        <w:pStyle w:val="heading2"/>
        <w:spacing w:before="0" w:after="0"/>
        <w:rPr>
          <w:rFonts w:ascii="Times New Roman" w:hAnsi="Times New Roman"/>
        </w:rPr>
      </w:pPr>
      <w:r w:rsidRPr="00562213">
        <w:rPr>
          <w:rFonts w:ascii="Times New Roman" w:hAnsi="Times New Roman"/>
        </w:rPr>
        <w:t>Introduction</w:t>
      </w:r>
    </w:p>
    <w:p w:rsidR="00EA1875" w:rsidRPr="00562213" w:rsidRDefault="00EA1875" w:rsidP="00562213">
      <w:pPr>
        <w:autoSpaceDE w:val="0"/>
        <w:autoSpaceDN w:val="0"/>
        <w:adjustRightInd w:val="0"/>
        <w:ind w:firstLine="567"/>
        <w:jc w:val="both"/>
        <w:rPr>
          <w:color w:val="14131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5.05pt;margin-top:101.4pt;width:42pt;height:18pt;z-index:251658752" stroked="f">
            <v:textbox>
              <w:txbxContent>
                <w:p w:rsidR="00EA1875" w:rsidRPr="0056121D" w:rsidRDefault="00EA1875">
                  <w:pPr>
                    <w:rPr>
                      <w:sz w:val="22"/>
                      <w:szCs w:val="22"/>
                      <w:rtl/>
                      <w:lang w:bidi="ar-IQ"/>
                    </w:rPr>
                  </w:pPr>
                  <w:r w:rsidRPr="0056121D">
                    <w:rPr>
                      <w:sz w:val="22"/>
                      <w:szCs w:val="22"/>
                      <w:rtl/>
                      <w:lang w:bidi="ar-IQ"/>
                    </w:rPr>
                    <w:t>450</w:t>
                  </w:r>
                </w:p>
              </w:txbxContent>
            </v:textbox>
            <w10:wrap anchorx="page"/>
          </v:shape>
        </w:pict>
      </w:r>
      <w:r w:rsidRPr="00562213">
        <w:rPr>
          <w:color w:val="141314"/>
        </w:rPr>
        <w:t>The quality of water is identified in terms of its physical, chemical and biological parameters (Sargaonkar &amp; Deshpande, 2003). The anthropological influences (i.e., urban, industrial and agricultural activities) as well as the natural processes (i.e., changes in precipitation amounts, erosion and weathering of crustal materials) degrade surface water quality and impair its use for drinking, industrial, agricultural, recreational and other purposes (Carpenter et al. 1998). Increasing exploitation of water resources in catchment is responsible for much of the pollution load (Singh et al. 2005). On the other hand, rivers and streams play a major role in assimilation or carrying off the municipal and industrial wastewater and run-off from agricultural land. The municipal and industrial wastewater discharge constitutes the constant polluting source, whereas the surface run-off is a seasonal phenomenon, largely affected by climate in the basin. (Vega et al. 1998; Singh et al. 2004).</w:t>
      </w:r>
    </w:p>
    <w:p w:rsidR="00EA1875" w:rsidRPr="00562213" w:rsidRDefault="00EA1875" w:rsidP="00562213">
      <w:pPr>
        <w:autoSpaceDE w:val="0"/>
        <w:autoSpaceDN w:val="0"/>
        <w:adjustRightInd w:val="0"/>
        <w:ind w:firstLine="567"/>
        <w:jc w:val="both"/>
        <w:rPr>
          <w:color w:val="141314"/>
        </w:rPr>
      </w:pPr>
      <w:r w:rsidRPr="00562213">
        <w:rPr>
          <w:color w:val="141314"/>
        </w:rPr>
        <w:t>The particular problem in the case of water quality monitoring is the complexity associated with analyzing the large number of measured variables and high variability due to anthropogenic and natural influences (Saffran, 2001; Simeonov et al. 2002).</w:t>
      </w:r>
    </w:p>
    <w:p w:rsidR="00EA1875" w:rsidRPr="00562213" w:rsidRDefault="00EA1875" w:rsidP="00562213">
      <w:pPr>
        <w:autoSpaceDE w:val="0"/>
        <w:autoSpaceDN w:val="0"/>
        <w:adjustRightInd w:val="0"/>
        <w:ind w:firstLine="567"/>
        <w:jc w:val="both"/>
        <w:rPr>
          <w:color w:val="141314"/>
        </w:rPr>
      </w:pPr>
      <w:r w:rsidRPr="00562213">
        <w:rPr>
          <w:color w:val="141314"/>
        </w:rPr>
        <w:t>The application of different multivariate statistical techniques, such as cluster analysis (CA) and factor analysis (FA), helps in the interpretation of complex data matrices to better understand the water quality and ecological status of the studied systems, allows the identification of possible factors/sources that influence water systems, and offers a valuable tool for reliable management of water resources as well as rapid solution to pollution problems (Wunderlin et al. 2001; Reghunath et al. 2002; Simeonova et al. 2003; Shrestha and Kazama 2007).</w:t>
      </w:r>
    </w:p>
    <w:p w:rsidR="00EA1875" w:rsidRPr="00562213" w:rsidRDefault="00EA1875" w:rsidP="00562213">
      <w:pPr>
        <w:autoSpaceDE w:val="0"/>
        <w:autoSpaceDN w:val="0"/>
        <w:adjustRightInd w:val="0"/>
        <w:ind w:firstLine="567"/>
        <w:jc w:val="both"/>
        <w:rPr>
          <w:color w:val="141314"/>
        </w:rPr>
      </w:pPr>
      <w:r w:rsidRPr="00562213">
        <w:rPr>
          <w:color w:val="141314"/>
        </w:rPr>
        <w:t>Factor and cluster analyses have been used successfully in hydrochemistry for many years. Surface water quality assessment and environmental research employing these techniques are well described in the literature. (Sojka et al. 2008) have assessed different physico-chemical parameters of the Mała Wełna waters in Western Poland by using Factor, cluster and discriminant analyses, they identified different water quality indicators suitable for characterizing its temporal and spatial variability. (Arzu, et al. 2009) presented the necessity and usefulness of multivariate statistical assessment of large and complex databases in order to get better information about the quality of surface water. (Zhang et al. 2009) were applied different Multivariate statistical techniques to assessing the water quality in Xiangjiang watershed, china for twelve parameters at 34 different profiles. They stated that these methods are valuable to understand complex nature of water quality issues. (Palma, et al. 2010) were applied Multivariate statistical techniques to evaluate spatial/temporal variations, and to interpret water quality data set obtained at Alqueva reservoir, their results emphasized the need for the implementation of some remediation processes in order to improve the water quality at the Alqueva reservoir, by reducing pollutant inputs to the reservoir, such as pesticides, and by the implementation of wastewater treatment processes.</w:t>
      </w:r>
    </w:p>
    <w:p w:rsidR="00EA1875" w:rsidRPr="00562213" w:rsidRDefault="00EA1875" w:rsidP="00562213">
      <w:pPr>
        <w:autoSpaceDE w:val="0"/>
        <w:autoSpaceDN w:val="0"/>
        <w:adjustRightInd w:val="0"/>
        <w:ind w:firstLine="567"/>
        <w:jc w:val="both"/>
        <w:rPr>
          <w:color w:val="141314"/>
        </w:rPr>
      </w:pPr>
      <w:r w:rsidRPr="00562213">
        <w:rPr>
          <w:color w:val="141314"/>
        </w:rPr>
        <w:t>All of them allow deriving hidden information from the data set about the possible influences of the environment on water quality and offer greater possibilities to managers in terms of aiding the decision-making process.</w:t>
      </w:r>
    </w:p>
    <w:p w:rsidR="00EA1875" w:rsidRPr="00562213" w:rsidRDefault="00EA1875" w:rsidP="00562213">
      <w:pPr>
        <w:autoSpaceDE w:val="0"/>
        <w:autoSpaceDN w:val="0"/>
        <w:adjustRightInd w:val="0"/>
        <w:ind w:firstLine="567"/>
        <w:jc w:val="both"/>
        <w:rPr>
          <w:color w:val="141314"/>
        </w:rPr>
      </w:pPr>
      <w:r w:rsidRPr="00562213">
        <w:rPr>
          <w:color w:val="141314"/>
        </w:rPr>
        <w:t>Factor analysis attempts to explain the correlations between the observations in terms of the underlying factors, which are not directly observable (Yu et al. 2003). Observations that are highly correlated (either positively or negatively) are likely influenced by the same factors, while those that are relatively uncorrelated are likely influenced by different factors.</w:t>
      </w:r>
    </w:p>
    <w:p w:rsidR="00EA1875" w:rsidRPr="00562213" w:rsidRDefault="00EA1875" w:rsidP="00562213">
      <w:pPr>
        <w:autoSpaceDE w:val="0"/>
        <w:autoSpaceDN w:val="0"/>
        <w:adjustRightInd w:val="0"/>
        <w:jc w:val="both"/>
        <w:rPr>
          <w:color w:val="141314"/>
        </w:rPr>
      </w:pPr>
      <w:r w:rsidRPr="00562213">
        <w:rPr>
          <w:color w:val="141314"/>
        </w:rPr>
        <w:t>There are three stages in factor analysis (Gupta et al. 2005):</w:t>
      </w:r>
    </w:p>
    <w:p w:rsidR="00EA1875" w:rsidRPr="00562213" w:rsidRDefault="00EA1875" w:rsidP="00562213">
      <w:pPr>
        <w:numPr>
          <w:ilvl w:val="0"/>
          <w:numId w:val="1"/>
        </w:numPr>
        <w:autoSpaceDE w:val="0"/>
        <w:autoSpaceDN w:val="0"/>
        <w:adjustRightInd w:val="0"/>
        <w:ind w:left="284" w:hanging="284"/>
        <w:jc w:val="both"/>
        <w:rPr>
          <w:color w:val="141314"/>
        </w:rPr>
      </w:pPr>
      <w:r w:rsidRPr="00562213">
        <w:rPr>
          <w:color w:val="141314"/>
        </w:rPr>
        <w:t>For all the variables a correlation matrix is generated.</w:t>
      </w:r>
    </w:p>
    <w:p w:rsidR="00EA1875" w:rsidRPr="00562213" w:rsidRDefault="00EA1875" w:rsidP="00562213">
      <w:pPr>
        <w:numPr>
          <w:ilvl w:val="0"/>
          <w:numId w:val="1"/>
        </w:numPr>
        <w:autoSpaceDE w:val="0"/>
        <w:autoSpaceDN w:val="0"/>
        <w:adjustRightInd w:val="0"/>
        <w:ind w:left="284" w:hanging="284"/>
        <w:jc w:val="both"/>
        <w:rPr>
          <w:color w:val="141314"/>
        </w:rPr>
      </w:pPr>
      <w:r w:rsidRPr="00562213">
        <w:rPr>
          <w:color w:val="141314"/>
        </w:rPr>
        <w:t>Initial set of factors are extracted. The factors are extracted based on the fundamental theorem of factor analysis, which says, that every observed value can be written as a linear combination of hypothetical factors. There are a number of different extraction methods, including centroid, maximum likelihood, principal component, and principal axis extraction.</w:t>
      </w:r>
    </w:p>
    <w:p w:rsidR="00EA1875" w:rsidRPr="00562213" w:rsidRDefault="00EA1875" w:rsidP="00562213">
      <w:pPr>
        <w:numPr>
          <w:ilvl w:val="0"/>
          <w:numId w:val="1"/>
        </w:numPr>
        <w:autoSpaceDE w:val="0"/>
        <w:autoSpaceDN w:val="0"/>
        <w:adjustRightInd w:val="0"/>
        <w:ind w:left="284" w:hanging="284"/>
        <w:jc w:val="both"/>
        <w:rPr>
          <w:color w:val="141314"/>
        </w:rPr>
      </w:pPr>
      <w:r w:rsidRPr="00562213">
        <w:rPr>
          <w:color w:val="141314"/>
        </w:rPr>
        <w:t>To maximize the relationship between some of the factors and variables, the factors are rotated. By rotating it is attempted to find a factor solution that is equal to that obtained in the initial extraction but which has the simplest interpretation. The best rotation method is widely believed to be Varimax. After a Varimax rotation, each original variable tends to be associated with one (or a small number) of factors, and each factor represents only a small number of variables.</w:t>
      </w:r>
    </w:p>
    <w:p w:rsidR="00EA1875" w:rsidRPr="00562213" w:rsidRDefault="00EA1875" w:rsidP="005B2C41">
      <w:pPr>
        <w:autoSpaceDE w:val="0"/>
        <w:autoSpaceDN w:val="0"/>
        <w:adjustRightInd w:val="0"/>
        <w:ind w:firstLine="567"/>
        <w:jc w:val="lowKashida"/>
        <w:rPr>
          <w:color w:val="131413"/>
        </w:rPr>
      </w:pPr>
      <w:r w:rsidRPr="00562213">
        <w:rPr>
          <w:color w:val="141314"/>
        </w:rPr>
        <w:t>The term cluster analysis encompasses a number of different algorithms and methods for grouping objects of similar kind into respective categories. In other words cluster analysis is a group of multivariate techniques whose primary purpose is to assemble</w:t>
      </w:r>
      <w:r>
        <w:rPr>
          <w:color w:val="141314"/>
        </w:rPr>
        <w:t xml:space="preserve"> </w:t>
      </w:r>
      <w:r w:rsidRPr="00562213">
        <w:rPr>
          <w:color w:val="141314"/>
        </w:rPr>
        <w:t xml:space="preserve">objects based on the characteristics they possess. Cluster analysis classifies objects so that each object can be similar to the others in the cluster with respect to a predetermined selection criterion. Hierarchical agglomerative clustering is the most common approach, which provides intuitive similarity relationships between any one sample and the entire data set, and is typically illustrated by a dendrogram (tree diagram) (Singh et al. 2004; Shrestha and Kazama 2007). </w:t>
      </w:r>
      <w:r w:rsidRPr="00562213">
        <w:rPr>
          <w:color w:val="131413"/>
        </w:rPr>
        <w:t>Euclidean distance method was used for determining distance. This is probably the most commonly chosen type of distance. It simply is the geometric distance in the multidimensional space and is computed as (Singh et al. 2008):</w:t>
      </w:r>
    </w:p>
    <w:p w:rsidR="00EA1875" w:rsidRPr="00562213" w:rsidRDefault="00EA1875" w:rsidP="00562213">
      <w:pPr>
        <w:pStyle w:val="equation"/>
        <w:spacing w:before="0" w:after="0"/>
      </w:pPr>
      <w:r w:rsidRPr="00562213">
        <w:t>Distance</w:t>
      </w:r>
      <w:r w:rsidRPr="00562213">
        <w:rPr>
          <w:color w:val="C0C0C0"/>
          <w:position w:val="-14"/>
        </w:rPr>
        <w:object w:dxaOrig="3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21pt" o:ole="">
            <v:imagedata r:id="rId7" o:title=""/>
          </v:shape>
          <o:OLEObject Type="Embed" ProgID="Equation.3" ShapeID="_x0000_i1027" DrawAspect="Content" ObjectID="_1465020587" r:id="rId8"/>
        </w:object>
      </w:r>
    </w:p>
    <w:p w:rsidR="00EA1875" w:rsidRPr="00562213" w:rsidRDefault="00EA1875" w:rsidP="00562213">
      <w:pPr>
        <w:autoSpaceDE w:val="0"/>
        <w:autoSpaceDN w:val="0"/>
        <w:adjustRightInd w:val="0"/>
        <w:ind w:firstLine="567"/>
        <w:jc w:val="both"/>
        <w:rPr>
          <w:color w:val="131413"/>
          <w:sz w:val="20"/>
          <w:szCs w:val="20"/>
        </w:rPr>
      </w:pPr>
      <w:r w:rsidRPr="00562213">
        <w:rPr>
          <w:color w:val="131413"/>
        </w:rPr>
        <w:t>In this study, the data sets observed during 2011 in Tigris River for the Baghdad stretch in Iraq, are analyzed with FA and CA analyses. Statistical calculations were performed using the “Statistical Package for the Social Sciences Software - SPSS 17 for Windows”. This study aimed at extract information about: (1) identify the main components of the water quality and the most important variables causing difference in the water quality of Tigris River for the Baghdad stretch in Iraq, (2) the similarities or dissimilarities between the monitoring sites, (3) the influence of the possible sources (natural or/and anthropogenic) on the water quality parameters. The results of these analyses may provide a crude guideline for officials to identify and prevent the pollution sources in the Tigris River, Baghdad stretch, especially, there are few scientific studies on this river.</w:t>
      </w:r>
    </w:p>
    <w:p w:rsidR="00EA1875" w:rsidRPr="00562213" w:rsidRDefault="00EA1875" w:rsidP="00562213">
      <w:pPr>
        <w:pStyle w:val="heading2"/>
        <w:spacing w:before="0" w:after="0"/>
        <w:rPr>
          <w:rFonts w:ascii="Times New Roman" w:hAnsi="Times New Roman"/>
        </w:rPr>
      </w:pPr>
      <w:r w:rsidRPr="00562213">
        <w:rPr>
          <w:rFonts w:ascii="Times New Roman" w:hAnsi="Times New Roman"/>
        </w:rPr>
        <w:t>Materials and methods</w:t>
      </w:r>
    </w:p>
    <w:p w:rsidR="00EA1875" w:rsidRPr="00562213" w:rsidRDefault="00EA1875" w:rsidP="00562213">
      <w:pPr>
        <w:pStyle w:val="heading3"/>
        <w:spacing w:before="0" w:after="0"/>
        <w:rPr>
          <w:rFonts w:ascii="Times New Roman" w:hAnsi="Times New Roman"/>
        </w:rPr>
      </w:pPr>
      <w:r w:rsidRPr="00562213">
        <w:rPr>
          <w:rFonts w:ascii="Times New Roman" w:hAnsi="Times New Roman"/>
        </w:rPr>
        <w:t>Study area</w:t>
      </w:r>
    </w:p>
    <w:p w:rsidR="00EA1875" w:rsidRPr="00562213" w:rsidRDefault="00EA1875" w:rsidP="00562213">
      <w:pPr>
        <w:autoSpaceDE w:val="0"/>
        <w:autoSpaceDN w:val="0"/>
        <w:adjustRightInd w:val="0"/>
        <w:ind w:firstLine="567"/>
        <w:jc w:val="both"/>
      </w:pPr>
      <w:r w:rsidRPr="00562213">
        <w:t>The Tigris River is one of the largest rivers of the Middle East stretching for over 1,900 km, of which 1415 km are within Iraq, with a catchment area of 235000 km</w:t>
      </w:r>
      <w:r w:rsidRPr="00562213">
        <w:rPr>
          <w:vertAlign w:val="superscript"/>
        </w:rPr>
        <w:t>2</w:t>
      </w:r>
      <w:r w:rsidRPr="00562213">
        <w:t>, sharing with Euphrates River as the main sources for man use, especially for drinking water since they pass the major cities in the country (Rzoska 1980).</w:t>
      </w:r>
    </w:p>
    <w:p w:rsidR="00EA1875" w:rsidRPr="00562213" w:rsidRDefault="00EA1875" w:rsidP="00562213">
      <w:pPr>
        <w:autoSpaceDE w:val="0"/>
        <w:autoSpaceDN w:val="0"/>
        <w:adjustRightInd w:val="0"/>
        <w:ind w:firstLine="567"/>
        <w:jc w:val="both"/>
      </w:pPr>
      <w:r w:rsidRPr="00562213">
        <w:t xml:space="preserve">The Tigris River originates in the Toros mountains of southeastern Turkey; it passes through Turkey, Syria, and Iraq. There are many tributaries flow into the river; these include Botmanse, Kessora, A1-Khabur, the Greater and Lesser Zabs, and A1-Adhaim and Diyala Rivers (Mutlak et al. 1980) Tigris River is the main source of drinking water for Baghdad, the capital of Iraq. Baghdad stretch of the Tigris River extends from Al-Tarmiyahm in the north to Al-Zafaraniah in the south and is located in the Mesopotamian alluvial plain between latitudes 33°14'-33°25' N and longitudes 44°31'- 44°17' E, 30.5 to 34.85 m.a.s.l (Fig. 1). The River divides the city into a right (Karkh) and left (Risafa) sections with a flow direction from north to south. The area is characterized by arid to semi-arid climate with dry hot summers and cold winters; the mean annual rainfall is about 151.8 mm (Al-Adili 1998). </w:t>
      </w:r>
    </w:p>
    <w:p w:rsidR="00EA1875" w:rsidRPr="00562213" w:rsidRDefault="00EA1875" w:rsidP="00562213">
      <w:pPr>
        <w:autoSpaceDE w:val="0"/>
        <w:autoSpaceDN w:val="0"/>
        <w:adjustRightInd w:val="0"/>
        <w:ind w:firstLine="567"/>
        <w:jc w:val="both"/>
      </w:pPr>
      <w:r w:rsidRPr="00562213">
        <w:t xml:space="preserve">Baghdad, with its six million people, is considered to be the most populated and industrialized city in Iraq. The majority of its municipal and industrial wastes are discharged directly into the river without adequate treatment. </w:t>
      </w:r>
    </w:p>
    <w:p w:rsidR="00EA1875" w:rsidRPr="00562213" w:rsidRDefault="00EA1875" w:rsidP="00562213">
      <w:pPr>
        <w:pStyle w:val="heading3"/>
        <w:spacing w:before="0" w:after="0"/>
        <w:ind w:firstLine="567"/>
        <w:rPr>
          <w:rFonts w:ascii="Times New Roman" w:hAnsi="Times New Roman"/>
        </w:rPr>
      </w:pPr>
      <w:r w:rsidRPr="00562213">
        <w:rPr>
          <w:rFonts w:ascii="Times New Roman" w:hAnsi="Times New Roman"/>
        </w:rPr>
        <w:t>Sampling and analyses</w:t>
      </w:r>
    </w:p>
    <w:p w:rsidR="00EA1875" w:rsidRPr="00562213" w:rsidRDefault="00EA1875" w:rsidP="00562213">
      <w:pPr>
        <w:autoSpaceDE w:val="0"/>
        <w:autoSpaceDN w:val="0"/>
        <w:adjustRightInd w:val="0"/>
        <w:ind w:firstLine="567"/>
        <w:jc w:val="both"/>
        <w:rPr>
          <w:color w:val="131313"/>
          <w:rtl/>
          <w:lang w:bidi="ar-IQ"/>
        </w:rPr>
      </w:pPr>
      <w:r w:rsidRPr="00562213">
        <w:t xml:space="preserve">Seven sampling stations were selected on Tigris River namely Al-Tarmiyahm  (S1), Al-Muthana bridge (S2), Al-Adhamiyah bridge (S3), Midecal City bridge (S4), Al-Jadriyah Bridge (S5), Al-Rashed (S6) and Al-Zafarania (S7). Figure 1 shows the sampling stations along the Tigris river. </w:t>
      </w:r>
      <w:r w:rsidRPr="00562213">
        <w:rPr>
          <w:color w:val="131313"/>
        </w:rPr>
        <w:t>The data for seven water quality monitoring stations, consisting of 14 water quality parameters, were monitored over 1 year.</w:t>
      </w:r>
    </w:p>
    <w:p w:rsidR="00EA1875" w:rsidRPr="00562213" w:rsidRDefault="00EA1875" w:rsidP="00562213">
      <w:pPr>
        <w:autoSpaceDE w:val="0"/>
        <w:autoSpaceDN w:val="0"/>
        <w:adjustRightInd w:val="0"/>
        <w:ind w:firstLine="567"/>
        <w:jc w:val="both"/>
      </w:pPr>
      <w:r w:rsidRPr="00562213">
        <w:rPr>
          <w:color w:val="131313"/>
        </w:rPr>
        <w:t xml:space="preserve">Water samples were collected in </w:t>
      </w:r>
      <w:r w:rsidRPr="00562213">
        <w:t xml:space="preserve">polypropylene bottles </w:t>
      </w:r>
      <w:r w:rsidRPr="00562213">
        <w:rPr>
          <w:color w:val="131313"/>
        </w:rPr>
        <w:t xml:space="preserve">at monthly intervals from sampling sites between January 2011 and December 2011. </w:t>
      </w:r>
      <w:r w:rsidRPr="00562213">
        <w:t xml:space="preserve">Grab sampling procedure was adopted for the analysis of various water quality parameters as recommended by standard methods (APHA, 1998). The polypropylene bottles were used for water quality parameter analysis. Water samples for BOD estimation were collected in BOD bottles (non-reactive borosilicate glass bottles of 300 ml capacity). Analysis of water samples was started as soon as possible after collection to avoid unpredictable changes. Microbiological samples were taken in sterile dark glass bottles. The bottles were kept at +4°C and analyzed within approximately 24 h. The analysis of the samples was done </w:t>
      </w:r>
      <w:r w:rsidRPr="00562213">
        <w:rPr>
          <w:color w:val="131313"/>
        </w:rPr>
        <w:t xml:space="preserve">at </w:t>
      </w:r>
      <w:r w:rsidRPr="00562213">
        <w:t>chemical laboratory of water resource techniques department, institute of technology</w:t>
      </w:r>
      <w:r w:rsidRPr="00562213">
        <w:rPr>
          <w:color w:val="131313"/>
        </w:rPr>
        <w:t xml:space="preserve">. </w:t>
      </w:r>
      <w:r w:rsidRPr="00562213">
        <w:t xml:space="preserve">Certain analyses were carried out in the Research Directorate for Environment and Water Technology, Ministry of Science and Technology. Table 1 shows the water quality parameters, alongside some of the abbreviations and units used in this study. </w:t>
      </w:r>
    </w:p>
    <w:p w:rsidR="00EA1875" w:rsidRPr="00562213" w:rsidRDefault="00EA1875" w:rsidP="00562213">
      <w:pPr>
        <w:autoSpaceDE w:val="0"/>
        <w:autoSpaceDN w:val="0"/>
        <w:adjustRightInd w:val="0"/>
        <w:ind w:firstLine="567"/>
        <w:jc w:val="both"/>
        <w:rPr>
          <w:color w:val="131313"/>
          <w:rtl/>
        </w:rPr>
      </w:pPr>
      <w:r w:rsidRPr="00562213">
        <w:rPr>
          <w:color w:val="131313"/>
        </w:rPr>
        <w:t>The selected parameters included water pH, electrical conductivity (EC), total hardness (TH), biochemical oxygen demand (BOD), fecal coliform (FC) total alkalinity (TA), turbidity (TBR), nitrate nitrogen (NO</w:t>
      </w:r>
      <w:r w:rsidRPr="00562213">
        <w:rPr>
          <w:color w:val="131313"/>
          <w:vertAlign w:val="subscript"/>
        </w:rPr>
        <w:t>3</w:t>
      </w:r>
      <w:r w:rsidRPr="00562213">
        <w:rPr>
          <w:color w:val="131313"/>
        </w:rPr>
        <w:t xml:space="preserve">-N), chloride (Cl </w:t>
      </w:r>
      <w:r w:rsidRPr="00562213">
        <w:rPr>
          <w:rFonts w:eastAsia="MS Mincho" w:hAnsi="MS Mincho" w:hint="eastAsia"/>
          <w:color w:val="131313"/>
        </w:rPr>
        <w:t>̄</w:t>
      </w:r>
      <w:r w:rsidRPr="00562213">
        <w:rPr>
          <w:color w:val="131313"/>
        </w:rPr>
        <w:t>), sulfate (SO</w:t>
      </w:r>
      <w:r w:rsidRPr="00562213">
        <w:rPr>
          <w:color w:val="131313"/>
          <w:vertAlign w:val="subscript"/>
        </w:rPr>
        <w:t>4</w:t>
      </w:r>
      <w:r w:rsidRPr="00562213">
        <w:rPr>
          <w:color w:val="131313"/>
        </w:rPr>
        <w:t>), magnesium (Mg), calcium (Ca), total dissolved solids (TDS), and iron (Fe).</w:t>
      </w:r>
    </w:p>
    <w:p w:rsidR="00EA1875" w:rsidRPr="00562213" w:rsidRDefault="00EA1875" w:rsidP="00562213">
      <w:pPr>
        <w:autoSpaceDE w:val="0"/>
        <w:autoSpaceDN w:val="0"/>
        <w:adjustRightInd w:val="0"/>
        <w:jc w:val="both"/>
        <w:rPr>
          <w:color w:val="131313"/>
          <w:rtl/>
        </w:rPr>
      </w:pPr>
    </w:p>
    <w:p w:rsidR="00EA1875" w:rsidRDefault="00EA1875" w:rsidP="00562213">
      <w:pPr>
        <w:autoSpaceDE w:val="0"/>
        <w:autoSpaceDN w:val="0"/>
        <w:adjustRightInd w:val="0"/>
        <w:jc w:val="both"/>
        <w:rPr>
          <w:color w:val="131313"/>
          <w:rtl/>
        </w:rPr>
      </w:pPr>
      <w:r>
        <w:rPr>
          <w:noProof/>
        </w:rPr>
        <w:pict>
          <v:shape id="Picture 6" o:spid="_x0000_s1027" type="#_x0000_t75" alt="derection" style="position:absolute;left:0;text-align:left;margin-left:-22.3pt;margin-top:87.95pt;width:54.45pt;height:64.25pt;z-index:251657728;visibility:visible">
            <v:imagedata r:id="rId9" o:title=""/>
          </v:shape>
        </w:pict>
      </w:r>
      <w:r>
        <w:rPr>
          <w:noProof/>
        </w:rPr>
        <w:pict>
          <v:shape id="Picture 5" o:spid="_x0000_s1028" type="#_x0000_t75" style="position:absolute;left:0;text-align:left;margin-left:-27.95pt;margin-top:445.6pt;width:135.1pt;height:142.85pt;z-index:251656704;visibility:visible">
            <v:imagedata r:id="rId10" o:title=""/>
          </v:shape>
        </w:pict>
      </w:r>
      <w:r w:rsidRPr="00C534D0">
        <w:rPr>
          <w:noProof/>
          <w:color w:val="131313"/>
        </w:rPr>
        <w:pict>
          <v:shape id="Picture 10" o:spid="_x0000_i1028" type="#_x0000_t75" style="width:427.5pt;height:589.5pt;visibility:visible">
            <v:imagedata r:id="rId11" o:title=""/>
          </v:shape>
        </w:pict>
      </w:r>
    </w:p>
    <w:p w:rsidR="00EA1875" w:rsidRDefault="00EA1875" w:rsidP="00562213">
      <w:pPr>
        <w:pStyle w:val="figlegend"/>
        <w:spacing w:before="0"/>
        <w:rPr>
          <w:rtl/>
        </w:rPr>
      </w:pPr>
    </w:p>
    <w:p w:rsidR="00EA1875" w:rsidRPr="00C2517E" w:rsidRDefault="00EA1875" w:rsidP="00562213">
      <w:pPr>
        <w:pStyle w:val="figlegend"/>
        <w:spacing w:before="0"/>
        <w:jc w:val="center"/>
        <w:rPr>
          <w:sz w:val="22"/>
          <w:szCs w:val="22"/>
        </w:rPr>
      </w:pPr>
      <w:r w:rsidRPr="00C2517E">
        <w:rPr>
          <w:sz w:val="22"/>
          <w:szCs w:val="22"/>
        </w:rPr>
        <w:t xml:space="preserve">Figure 1 study area and monitoring sites (modified from </w:t>
      </w:r>
      <w:hyperlink r:id="rId12" w:history="1">
        <w:r w:rsidRPr="00C2517E">
          <w:rPr>
            <w:rStyle w:val="Hyperlink"/>
            <w:sz w:val="22"/>
            <w:szCs w:val="22"/>
          </w:rPr>
          <w:t>http://iraqmap.org/</w:t>
        </w:r>
      </w:hyperlink>
      <w:r w:rsidRPr="00C2517E">
        <w:rPr>
          <w:sz w:val="22"/>
          <w:szCs w:val="22"/>
        </w:rPr>
        <w:t>)</w:t>
      </w:r>
    </w:p>
    <w:p w:rsidR="00EA1875" w:rsidRDefault="00EA1875" w:rsidP="00562213">
      <w:pPr>
        <w:tabs>
          <w:tab w:val="left" w:pos="2826"/>
        </w:tabs>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tl/>
        </w:rPr>
      </w:pPr>
    </w:p>
    <w:p w:rsidR="00EA1875" w:rsidRPr="00C2517E" w:rsidRDefault="00EA1875" w:rsidP="00562213">
      <w:pPr>
        <w:pStyle w:val="tablelegend"/>
        <w:spacing w:before="0"/>
        <w:jc w:val="center"/>
        <w:rPr>
          <w:rFonts w:cs="AdvTT3713a231"/>
          <w:color w:val="131413"/>
          <w:sz w:val="22"/>
          <w:szCs w:val="22"/>
          <w:rtl/>
          <w:lang w:bidi="ar-IQ"/>
        </w:rPr>
      </w:pPr>
      <w:r w:rsidRPr="00C2517E">
        <w:rPr>
          <w:sz w:val="22"/>
          <w:szCs w:val="22"/>
        </w:rPr>
        <w:t>Table 1: Analytical method, Abbreviation, units for water quality parameters</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2"/>
        <w:gridCol w:w="1423"/>
        <w:gridCol w:w="1393"/>
        <w:gridCol w:w="3386"/>
      </w:tblGrid>
      <w:tr w:rsidR="00EA1875" w:rsidRPr="0007631C" w:rsidTr="00C2517E">
        <w:trPr>
          <w:trHeight w:val="372"/>
          <w:jc w:val="center"/>
        </w:trPr>
        <w:tc>
          <w:tcPr>
            <w:tcW w:w="1478" w:type="pct"/>
            <w:vAlign w:val="center"/>
          </w:tcPr>
          <w:p w:rsidR="00EA1875" w:rsidRPr="00EB0681" w:rsidRDefault="00EA1875" w:rsidP="005B2C41">
            <w:pPr>
              <w:autoSpaceDE w:val="0"/>
              <w:autoSpaceDN w:val="0"/>
              <w:adjustRightInd w:val="0"/>
              <w:jc w:val="center"/>
              <w:rPr>
                <w:b/>
                <w:bCs/>
                <w:sz w:val="20"/>
                <w:szCs w:val="20"/>
              </w:rPr>
            </w:pPr>
            <w:r w:rsidRPr="00EB0681">
              <w:rPr>
                <w:b/>
                <w:bCs/>
                <w:sz w:val="20"/>
                <w:szCs w:val="20"/>
              </w:rPr>
              <w:t>Parameter</w:t>
            </w:r>
          </w:p>
        </w:tc>
        <w:tc>
          <w:tcPr>
            <w:tcW w:w="808" w:type="pct"/>
            <w:vAlign w:val="center"/>
          </w:tcPr>
          <w:p w:rsidR="00EA1875" w:rsidRPr="00EB0681" w:rsidRDefault="00EA1875" w:rsidP="005B2C41">
            <w:pPr>
              <w:autoSpaceDE w:val="0"/>
              <w:autoSpaceDN w:val="0"/>
              <w:adjustRightInd w:val="0"/>
              <w:jc w:val="center"/>
              <w:rPr>
                <w:b/>
                <w:bCs/>
                <w:sz w:val="20"/>
                <w:szCs w:val="20"/>
              </w:rPr>
            </w:pPr>
            <w:r w:rsidRPr="00EB0681">
              <w:rPr>
                <w:b/>
                <w:bCs/>
                <w:sz w:val="20"/>
                <w:szCs w:val="20"/>
              </w:rPr>
              <w:t>Abbreviation</w:t>
            </w:r>
          </w:p>
        </w:tc>
        <w:tc>
          <w:tcPr>
            <w:tcW w:w="791" w:type="pct"/>
            <w:vAlign w:val="center"/>
          </w:tcPr>
          <w:p w:rsidR="00EA1875" w:rsidRPr="00EB0681" w:rsidRDefault="00EA1875" w:rsidP="005B2C41">
            <w:pPr>
              <w:autoSpaceDE w:val="0"/>
              <w:autoSpaceDN w:val="0"/>
              <w:adjustRightInd w:val="0"/>
              <w:jc w:val="center"/>
              <w:rPr>
                <w:b/>
                <w:bCs/>
                <w:sz w:val="20"/>
                <w:szCs w:val="20"/>
              </w:rPr>
            </w:pPr>
            <w:r w:rsidRPr="00EB0681">
              <w:rPr>
                <w:b/>
                <w:bCs/>
                <w:sz w:val="20"/>
                <w:szCs w:val="20"/>
              </w:rPr>
              <w:t>Units</w:t>
            </w:r>
          </w:p>
        </w:tc>
        <w:tc>
          <w:tcPr>
            <w:tcW w:w="1923" w:type="pct"/>
            <w:vAlign w:val="center"/>
          </w:tcPr>
          <w:p w:rsidR="00EA1875" w:rsidRPr="00EB0681" w:rsidRDefault="00EA1875" w:rsidP="005B2C41">
            <w:pPr>
              <w:autoSpaceDE w:val="0"/>
              <w:autoSpaceDN w:val="0"/>
              <w:adjustRightInd w:val="0"/>
              <w:jc w:val="center"/>
              <w:rPr>
                <w:b/>
                <w:bCs/>
                <w:sz w:val="20"/>
                <w:szCs w:val="20"/>
              </w:rPr>
            </w:pPr>
            <w:r w:rsidRPr="00EB0681">
              <w:rPr>
                <w:b/>
                <w:bCs/>
                <w:sz w:val="20"/>
                <w:szCs w:val="20"/>
              </w:rPr>
              <w:t>Instruments / technique used</w:t>
            </w:r>
          </w:p>
        </w:tc>
      </w:tr>
      <w:tr w:rsidR="00EA1875" w:rsidRPr="0007631C" w:rsidTr="00C2517E">
        <w:trPr>
          <w:trHeight w:val="318"/>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pH</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pH</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Digital pH meter</w:t>
            </w:r>
          </w:p>
        </w:tc>
      </w:tr>
      <w:tr w:rsidR="00EA1875" w:rsidRPr="0007631C" w:rsidTr="00C2517E">
        <w:trPr>
          <w:trHeight w:val="318"/>
          <w:jc w:val="center"/>
        </w:trPr>
        <w:tc>
          <w:tcPr>
            <w:tcW w:w="1478" w:type="pct"/>
            <w:vAlign w:val="center"/>
          </w:tcPr>
          <w:p w:rsidR="00EA1875" w:rsidRPr="003E0013" w:rsidRDefault="00EA1875" w:rsidP="00562213">
            <w:pPr>
              <w:autoSpaceDE w:val="0"/>
              <w:autoSpaceDN w:val="0"/>
              <w:adjustRightInd w:val="0"/>
              <w:rPr>
                <w:rFonts w:ascii="AdvP4C4E74" w:hAnsi="AdvP4C4E74" w:cs="AdvP4C4E74"/>
                <w:color w:val="131313"/>
                <w:sz w:val="14"/>
                <w:szCs w:val="14"/>
              </w:rPr>
            </w:pPr>
            <w:r w:rsidRPr="003E0013">
              <w:rPr>
                <w:sz w:val="20"/>
                <w:szCs w:val="20"/>
              </w:rPr>
              <w:t>nitrate nitrogen  NO</w:t>
            </w:r>
            <w:r w:rsidRPr="003E0013">
              <w:rPr>
                <w:sz w:val="20"/>
                <w:szCs w:val="20"/>
                <w:vertAlign w:val="subscript"/>
              </w:rPr>
              <w:t>3</w:t>
            </w:r>
            <w:r w:rsidRPr="003E0013">
              <w:rPr>
                <w:sz w:val="20"/>
                <w:szCs w:val="20"/>
              </w:rPr>
              <w:t>-N</w:t>
            </w:r>
            <w:r w:rsidRPr="00EB0681">
              <w:rPr>
                <w:sz w:val="20"/>
                <w:szCs w:val="20"/>
              </w:rPr>
              <w:t xml:space="preserve">, </w:t>
            </w:r>
          </w:p>
        </w:tc>
        <w:tc>
          <w:tcPr>
            <w:tcW w:w="808" w:type="pct"/>
            <w:vAlign w:val="center"/>
          </w:tcPr>
          <w:p w:rsidR="00EA1875" w:rsidRPr="00EB0681" w:rsidRDefault="00EA1875" w:rsidP="00562213">
            <w:pPr>
              <w:autoSpaceDE w:val="0"/>
              <w:autoSpaceDN w:val="0"/>
              <w:adjustRightInd w:val="0"/>
              <w:jc w:val="center"/>
              <w:rPr>
                <w:sz w:val="20"/>
                <w:szCs w:val="20"/>
              </w:rPr>
            </w:pPr>
            <w:r w:rsidRPr="003E0013">
              <w:rPr>
                <w:sz w:val="20"/>
                <w:szCs w:val="20"/>
              </w:rPr>
              <w:t>NO</w:t>
            </w:r>
            <w:r w:rsidRPr="003E0013">
              <w:rPr>
                <w:sz w:val="20"/>
                <w:szCs w:val="20"/>
                <w:vertAlign w:val="subscript"/>
              </w:rPr>
              <w:t>3</w:t>
            </w:r>
            <w:r>
              <w:rPr>
                <w:rFonts w:ascii="MS Mincho" w:eastAsia="MS Mincho" w:hAnsi="MS Mincho" w:cs="MS Mincho" w:hint="eastAsia"/>
                <w:sz w:val="20"/>
                <w:szCs w:val="20"/>
              </w:rPr>
              <w:t>̄</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1A59B7">
              <w:rPr>
                <w:sz w:val="20"/>
                <w:szCs w:val="20"/>
              </w:rPr>
              <w:t>MAS</w:t>
            </w:r>
            <w:r w:rsidRPr="001A59B7">
              <w:rPr>
                <w:sz w:val="20"/>
                <w:szCs w:val="20"/>
                <w:vertAlign w:val="superscript"/>
              </w:rPr>
              <w:t>**</w:t>
            </w:r>
          </w:p>
        </w:tc>
      </w:tr>
      <w:tr w:rsidR="00EA1875" w:rsidRPr="0007631C" w:rsidTr="00C2517E">
        <w:trPr>
          <w:trHeight w:val="318"/>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Total Hardness </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TH</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EDTA Titrimetric method</w:t>
            </w:r>
          </w:p>
        </w:tc>
      </w:tr>
      <w:tr w:rsidR="00EA1875" w:rsidRPr="0007631C" w:rsidTr="00C2517E">
        <w:trPr>
          <w:trHeight w:val="372"/>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Turbidity</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TBR</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NTU</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Digit</w:t>
            </w:r>
            <w:r>
              <w:rPr>
                <w:sz w:val="20"/>
                <w:szCs w:val="20"/>
              </w:rPr>
              <w:t xml:space="preserve">al Turbidity Meter </w:t>
            </w:r>
          </w:p>
        </w:tc>
      </w:tr>
      <w:tr w:rsidR="00EA1875" w:rsidRPr="0007631C" w:rsidTr="00C2517E">
        <w:trPr>
          <w:trHeight w:val="306"/>
          <w:jc w:val="center"/>
        </w:trPr>
        <w:tc>
          <w:tcPr>
            <w:tcW w:w="1478" w:type="pct"/>
            <w:vAlign w:val="center"/>
          </w:tcPr>
          <w:p w:rsidR="00EA1875" w:rsidRPr="00EB0681" w:rsidRDefault="00EA1875" w:rsidP="00562213">
            <w:pPr>
              <w:autoSpaceDE w:val="0"/>
              <w:autoSpaceDN w:val="0"/>
              <w:adjustRightInd w:val="0"/>
              <w:rPr>
                <w:sz w:val="20"/>
                <w:szCs w:val="20"/>
              </w:rPr>
            </w:pPr>
            <w:r>
              <w:rPr>
                <w:sz w:val="20"/>
                <w:szCs w:val="20"/>
              </w:rPr>
              <w:t>Fecal coliform</w:t>
            </w:r>
          </w:p>
        </w:tc>
        <w:tc>
          <w:tcPr>
            <w:tcW w:w="808" w:type="pct"/>
            <w:vAlign w:val="center"/>
          </w:tcPr>
          <w:p w:rsidR="00EA1875" w:rsidRPr="00EB0681" w:rsidRDefault="00EA1875" w:rsidP="00562213">
            <w:pPr>
              <w:autoSpaceDE w:val="0"/>
              <w:autoSpaceDN w:val="0"/>
              <w:adjustRightInd w:val="0"/>
              <w:jc w:val="center"/>
              <w:rPr>
                <w:sz w:val="20"/>
                <w:szCs w:val="20"/>
              </w:rPr>
            </w:pPr>
            <w:r>
              <w:rPr>
                <w:sz w:val="20"/>
                <w:szCs w:val="20"/>
              </w:rPr>
              <w:t>FC</w:t>
            </w:r>
          </w:p>
        </w:tc>
        <w:tc>
          <w:tcPr>
            <w:tcW w:w="791" w:type="pct"/>
            <w:vAlign w:val="center"/>
          </w:tcPr>
          <w:p w:rsidR="00EA1875" w:rsidRPr="00EB0681" w:rsidRDefault="00EA1875" w:rsidP="00562213">
            <w:pPr>
              <w:autoSpaceDE w:val="0"/>
              <w:autoSpaceDN w:val="0"/>
              <w:adjustRightInd w:val="0"/>
              <w:jc w:val="center"/>
              <w:rPr>
                <w:sz w:val="20"/>
                <w:szCs w:val="20"/>
              </w:rPr>
            </w:pPr>
            <w:r w:rsidRPr="00612A94">
              <w:rPr>
                <w:sz w:val="20"/>
                <w:szCs w:val="20"/>
              </w:rPr>
              <w:t>CFU/100 ml</w:t>
            </w:r>
          </w:p>
        </w:tc>
        <w:tc>
          <w:tcPr>
            <w:tcW w:w="1923" w:type="pct"/>
            <w:vAlign w:val="center"/>
          </w:tcPr>
          <w:p w:rsidR="00EA1875" w:rsidRPr="00EB0681" w:rsidRDefault="00EA1875" w:rsidP="00562213">
            <w:pPr>
              <w:autoSpaceDE w:val="0"/>
              <w:autoSpaceDN w:val="0"/>
              <w:adjustRightInd w:val="0"/>
              <w:rPr>
                <w:sz w:val="20"/>
                <w:szCs w:val="20"/>
              </w:rPr>
            </w:pPr>
            <w:r w:rsidRPr="001A59B7">
              <w:rPr>
                <w:sz w:val="20"/>
                <w:szCs w:val="20"/>
              </w:rPr>
              <w:t>Membrane</w:t>
            </w:r>
            <w:r>
              <w:rPr>
                <w:rFonts w:ascii="TimesTen-Roman" w:hAnsi="TimesTen-Roman" w:cs="TimesTen-Roman"/>
                <w:color w:val="131313"/>
                <w:sz w:val="17"/>
                <w:szCs w:val="17"/>
              </w:rPr>
              <w:t xml:space="preserve"> </w:t>
            </w:r>
            <w:r w:rsidRPr="001A59B7">
              <w:rPr>
                <w:sz w:val="20"/>
                <w:szCs w:val="20"/>
              </w:rPr>
              <w:t>filtration</w:t>
            </w:r>
            <w:r>
              <w:rPr>
                <w:rFonts w:ascii="TimesTen-Roman" w:hAnsi="TimesTen-Roman" w:cs="TimesTen-Roman"/>
                <w:color w:val="131313"/>
                <w:sz w:val="17"/>
                <w:szCs w:val="17"/>
              </w:rPr>
              <w:t xml:space="preserve"> </w:t>
            </w:r>
            <w:r>
              <w:rPr>
                <w:sz w:val="20"/>
                <w:szCs w:val="20"/>
              </w:rPr>
              <w:t>technique</w:t>
            </w:r>
          </w:p>
        </w:tc>
      </w:tr>
      <w:tr w:rsidR="00EA1875" w:rsidRPr="0007631C" w:rsidTr="00C2517E">
        <w:trPr>
          <w:trHeight w:val="331"/>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Biochemical  oxygen demand </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BOD</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Winkler’s method, incubation for 5 days at 20°C</w:t>
            </w:r>
          </w:p>
        </w:tc>
      </w:tr>
      <w:tr w:rsidR="00EA1875" w:rsidRPr="0007631C" w:rsidTr="00C2517E">
        <w:trPr>
          <w:trHeight w:val="318"/>
          <w:jc w:val="center"/>
        </w:trPr>
        <w:tc>
          <w:tcPr>
            <w:tcW w:w="1478" w:type="pct"/>
            <w:vAlign w:val="center"/>
          </w:tcPr>
          <w:p w:rsidR="00EA1875" w:rsidRPr="00EB0681" w:rsidRDefault="00EA1875" w:rsidP="00562213">
            <w:pPr>
              <w:autoSpaceDE w:val="0"/>
              <w:autoSpaceDN w:val="0"/>
              <w:adjustRightInd w:val="0"/>
              <w:rPr>
                <w:sz w:val="20"/>
                <w:szCs w:val="20"/>
              </w:rPr>
            </w:pPr>
            <w:r>
              <w:rPr>
                <w:sz w:val="20"/>
                <w:szCs w:val="20"/>
              </w:rPr>
              <w:t>Calcium</w:t>
            </w:r>
          </w:p>
        </w:tc>
        <w:tc>
          <w:tcPr>
            <w:tcW w:w="808" w:type="pct"/>
            <w:vAlign w:val="center"/>
          </w:tcPr>
          <w:p w:rsidR="00EA1875" w:rsidRPr="00EB0681" w:rsidRDefault="00EA1875" w:rsidP="00562213">
            <w:pPr>
              <w:autoSpaceDE w:val="0"/>
              <w:autoSpaceDN w:val="0"/>
              <w:adjustRightInd w:val="0"/>
              <w:jc w:val="center"/>
              <w:rPr>
                <w:sz w:val="20"/>
                <w:szCs w:val="20"/>
              </w:rPr>
            </w:pPr>
            <w:r>
              <w:rPr>
                <w:sz w:val="20"/>
                <w:szCs w:val="20"/>
              </w:rPr>
              <w:t>Ca</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Titrimetric method</w:t>
            </w:r>
          </w:p>
        </w:tc>
      </w:tr>
      <w:tr w:rsidR="00EA1875" w:rsidRPr="0007631C" w:rsidTr="00C2517E">
        <w:trPr>
          <w:trHeight w:val="318"/>
          <w:jc w:val="center"/>
        </w:trPr>
        <w:tc>
          <w:tcPr>
            <w:tcW w:w="1478" w:type="pct"/>
            <w:vAlign w:val="center"/>
          </w:tcPr>
          <w:p w:rsidR="00EA1875" w:rsidRDefault="00EA1875" w:rsidP="00562213">
            <w:pPr>
              <w:autoSpaceDE w:val="0"/>
              <w:autoSpaceDN w:val="0"/>
              <w:adjustRightInd w:val="0"/>
              <w:rPr>
                <w:sz w:val="20"/>
                <w:szCs w:val="20"/>
              </w:rPr>
            </w:pPr>
            <w:r>
              <w:rPr>
                <w:sz w:val="20"/>
                <w:szCs w:val="20"/>
              </w:rPr>
              <w:t>Magnesium</w:t>
            </w:r>
          </w:p>
        </w:tc>
        <w:tc>
          <w:tcPr>
            <w:tcW w:w="808" w:type="pct"/>
            <w:vAlign w:val="center"/>
          </w:tcPr>
          <w:p w:rsidR="00EA1875" w:rsidRPr="00EB0681" w:rsidRDefault="00EA1875" w:rsidP="00562213">
            <w:pPr>
              <w:autoSpaceDE w:val="0"/>
              <w:autoSpaceDN w:val="0"/>
              <w:adjustRightInd w:val="0"/>
              <w:jc w:val="center"/>
              <w:rPr>
                <w:sz w:val="20"/>
                <w:szCs w:val="20"/>
              </w:rPr>
            </w:pPr>
            <w:r>
              <w:rPr>
                <w:sz w:val="20"/>
                <w:szCs w:val="20"/>
              </w:rPr>
              <w:t>Mg</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Titrimetric method</w:t>
            </w:r>
          </w:p>
        </w:tc>
      </w:tr>
      <w:tr w:rsidR="00EA1875" w:rsidRPr="0007631C" w:rsidTr="00C2517E">
        <w:trPr>
          <w:trHeight w:val="372"/>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Total dissolved solids</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TDS</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Temperature controlled oven</w:t>
            </w:r>
          </w:p>
        </w:tc>
      </w:tr>
      <w:tr w:rsidR="00EA1875" w:rsidRPr="0007631C" w:rsidTr="00C2517E">
        <w:trPr>
          <w:trHeight w:val="372"/>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Total Alkalinity </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TA</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Titration method</w:t>
            </w:r>
          </w:p>
        </w:tc>
      </w:tr>
      <w:tr w:rsidR="00EA1875" w:rsidRPr="0007631C" w:rsidTr="00C2517E">
        <w:trPr>
          <w:trHeight w:val="372"/>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Electrical conductivity </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EC</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µs/cm</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Measured by conductivity meter</w:t>
            </w:r>
          </w:p>
        </w:tc>
      </w:tr>
      <w:tr w:rsidR="00EA1875" w:rsidRPr="0007631C" w:rsidTr="00C2517E">
        <w:trPr>
          <w:trHeight w:val="372"/>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Chloride  </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Cl‾</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Silver nitrate method</w:t>
            </w:r>
          </w:p>
        </w:tc>
      </w:tr>
      <w:tr w:rsidR="00EA1875" w:rsidRPr="0007631C" w:rsidTr="00C2517E">
        <w:trPr>
          <w:trHeight w:val="372"/>
          <w:jc w:val="center"/>
        </w:trPr>
        <w:tc>
          <w:tcPr>
            <w:tcW w:w="1478"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Sulphate </w:t>
            </w:r>
          </w:p>
        </w:tc>
        <w:tc>
          <w:tcPr>
            <w:tcW w:w="808" w:type="pct"/>
            <w:vAlign w:val="center"/>
          </w:tcPr>
          <w:p w:rsidR="00EA1875" w:rsidRPr="00EB0681" w:rsidRDefault="00EA1875" w:rsidP="00562213">
            <w:pPr>
              <w:autoSpaceDE w:val="0"/>
              <w:autoSpaceDN w:val="0"/>
              <w:adjustRightInd w:val="0"/>
              <w:jc w:val="center"/>
              <w:rPr>
                <w:color w:val="131313"/>
                <w:sz w:val="20"/>
                <w:szCs w:val="20"/>
              </w:rPr>
            </w:pPr>
            <w:r w:rsidRPr="00EB0681">
              <w:rPr>
                <w:sz w:val="20"/>
                <w:szCs w:val="20"/>
              </w:rPr>
              <w:t>SO</w:t>
            </w:r>
            <w:r w:rsidRPr="00EB0681">
              <w:rPr>
                <w:color w:val="131313"/>
                <w:sz w:val="20"/>
                <w:szCs w:val="20"/>
                <w:vertAlign w:val="subscript"/>
              </w:rPr>
              <w:t>4</w:t>
            </w:r>
            <w:r w:rsidRPr="00EB0681">
              <w:rPr>
                <w:color w:val="131313"/>
                <w:sz w:val="20"/>
                <w:szCs w:val="20"/>
                <w:vertAlign w:val="superscript"/>
              </w:rPr>
              <w:t>2−</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UV. visible spectrophotometer</w:t>
            </w:r>
          </w:p>
        </w:tc>
      </w:tr>
      <w:tr w:rsidR="00EA1875" w:rsidRPr="0007631C" w:rsidTr="00C2517E">
        <w:trPr>
          <w:trHeight w:val="360"/>
          <w:jc w:val="center"/>
        </w:trPr>
        <w:tc>
          <w:tcPr>
            <w:tcW w:w="1478" w:type="pct"/>
            <w:vAlign w:val="center"/>
          </w:tcPr>
          <w:p w:rsidR="00EA1875" w:rsidRPr="00EB0681" w:rsidRDefault="00EA1875" w:rsidP="00562213">
            <w:pPr>
              <w:autoSpaceDE w:val="0"/>
              <w:autoSpaceDN w:val="0"/>
              <w:adjustRightInd w:val="0"/>
              <w:rPr>
                <w:sz w:val="20"/>
                <w:szCs w:val="20"/>
              </w:rPr>
            </w:pPr>
            <w:bookmarkStart w:id="0" w:name="_GoBack" w:colFirst="2" w:colLast="2"/>
            <w:r>
              <w:rPr>
                <w:sz w:val="20"/>
                <w:szCs w:val="20"/>
              </w:rPr>
              <w:t>Fe</w:t>
            </w:r>
          </w:p>
        </w:tc>
        <w:tc>
          <w:tcPr>
            <w:tcW w:w="808"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w:t>
            </w:r>
          </w:p>
        </w:tc>
        <w:tc>
          <w:tcPr>
            <w:tcW w:w="791" w:type="pct"/>
            <w:vAlign w:val="center"/>
          </w:tcPr>
          <w:p w:rsidR="00EA1875" w:rsidRPr="00EB0681" w:rsidRDefault="00EA1875" w:rsidP="00562213">
            <w:pPr>
              <w:autoSpaceDE w:val="0"/>
              <w:autoSpaceDN w:val="0"/>
              <w:adjustRightInd w:val="0"/>
              <w:jc w:val="center"/>
              <w:rPr>
                <w:sz w:val="20"/>
                <w:szCs w:val="20"/>
              </w:rPr>
            </w:pPr>
            <w:r w:rsidRPr="00EB0681">
              <w:rPr>
                <w:sz w:val="20"/>
                <w:szCs w:val="20"/>
              </w:rPr>
              <w:t>mg/</w:t>
            </w:r>
            <w:r>
              <w:rPr>
                <w:sz w:val="20"/>
                <w:szCs w:val="20"/>
              </w:rPr>
              <w:t>L</w:t>
            </w:r>
          </w:p>
        </w:tc>
        <w:tc>
          <w:tcPr>
            <w:tcW w:w="1923" w:type="pct"/>
            <w:vAlign w:val="center"/>
          </w:tcPr>
          <w:p w:rsidR="00EA1875" w:rsidRPr="00EB0681" w:rsidRDefault="00EA1875" w:rsidP="00562213">
            <w:pPr>
              <w:autoSpaceDE w:val="0"/>
              <w:autoSpaceDN w:val="0"/>
              <w:adjustRightInd w:val="0"/>
              <w:rPr>
                <w:sz w:val="20"/>
                <w:szCs w:val="20"/>
              </w:rPr>
            </w:pPr>
            <w:r w:rsidRPr="00EB0681">
              <w:rPr>
                <w:sz w:val="20"/>
                <w:szCs w:val="20"/>
              </w:rPr>
              <w:t xml:space="preserve">Detection by </w:t>
            </w:r>
            <w:r>
              <w:rPr>
                <w:sz w:val="20"/>
                <w:szCs w:val="20"/>
              </w:rPr>
              <w:t>F</w:t>
            </w:r>
            <w:r w:rsidRPr="00EB0681">
              <w:rPr>
                <w:sz w:val="20"/>
                <w:szCs w:val="20"/>
              </w:rPr>
              <w:t>AAS</w:t>
            </w:r>
            <w:r w:rsidRPr="008B5595">
              <w:rPr>
                <w:sz w:val="20"/>
                <w:szCs w:val="20"/>
                <w:vertAlign w:val="superscript"/>
              </w:rPr>
              <w:t>*</w:t>
            </w:r>
          </w:p>
        </w:tc>
      </w:tr>
    </w:tbl>
    <w:bookmarkEnd w:id="0"/>
    <w:p w:rsidR="00EA1875" w:rsidRPr="00C2517E" w:rsidRDefault="00EA1875" w:rsidP="00562213">
      <w:pPr>
        <w:autoSpaceDE w:val="0"/>
        <w:autoSpaceDN w:val="0"/>
        <w:adjustRightInd w:val="0"/>
        <w:rPr>
          <w:rFonts w:ascii="AdvTT3713a231" w:hAnsi="AdvTT3713a231" w:cs="AdvTT3713a231"/>
          <w:color w:val="131413"/>
          <w:sz w:val="20"/>
          <w:szCs w:val="20"/>
        </w:rPr>
      </w:pPr>
      <w:r w:rsidRPr="00C2517E">
        <w:rPr>
          <w:rFonts w:ascii="AdvTT3713a231" w:hAnsi="AdvTT3713a231" w:cs="AdvTT3713a231"/>
          <w:color w:val="131413"/>
          <w:sz w:val="20"/>
          <w:szCs w:val="20"/>
        </w:rPr>
        <w:t>*FAAS: Flame atomic absorption spectrophotometr</w:t>
      </w:r>
    </w:p>
    <w:p w:rsidR="00EA1875" w:rsidRPr="00C2517E" w:rsidRDefault="00EA1875" w:rsidP="00562213">
      <w:pPr>
        <w:autoSpaceDE w:val="0"/>
        <w:autoSpaceDN w:val="0"/>
        <w:adjustRightInd w:val="0"/>
        <w:rPr>
          <w:rFonts w:ascii="AdvTT3713a231" w:hAnsi="AdvTT3713a231" w:cs="AdvTT3713a231"/>
          <w:color w:val="131413"/>
          <w:sz w:val="20"/>
          <w:szCs w:val="20"/>
        </w:rPr>
      </w:pPr>
      <w:r w:rsidRPr="00C2517E">
        <w:rPr>
          <w:rFonts w:ascii="AdvTT3713a231" w:hAnsi="AdvTT3713a231" w:cs="AdvTT3713a231"/>
          <w:color w:val="131413"/>
          <w:sz w:val="20"/>
          <w:szCs w:val="20"/>
        </w:rPr>
        <w:t>** MAS: Molecular absorption spectrometry</w:t>
      </w:r>
    </w:p>
    <w:p w:rsidR="00EA1875" w:rsidRPr="00562213" w:rsidRDefault="00EA1875" w:rsidP="00562213">
      <w:pPr>
        <w:pStyle w:val="heading2"/>
        <w:spacing w:before="0" w:after="0"/>
        <w:rPr>
          <w:rFonts w:ascii="Times New Roman" w:hAnsi="Times New Roman"/>
          <w:b w:val="0"/>
          <w:color w:val="131313"/>
          <w:sz w:val="28"/>
          <w:szCs w:val="28"/>
        </w:rPr>
      </w:pPr>
      <w:r w:rsidRPr="00562213">
        <w:rPr>
          <w:rFonts w:ascii="Times New Roman" w:hAnsi="Times New Roman"/>
          <w:b w:val="0"/>
          <w:color w:val="131313"/>
          <w:sz w:val="28"/>
          <w:szCs w:val="28"/>
        </w:rPr>
        <w:t>Results and discussion</w:t>
      </w:r>
    </w:p>
    <w:p w:rsidR="00EA1875" w:rsidRDefault="00EA1875" w:rsidP="00562213">
      <w:pPr>
        <w:autoSpaceDE w:val="0"/>
        <w:autoSpaceDN w:val="0"/>
        <w:adjustRightInd w:val="0"/>
        <w:ind w:firstLine="567"/>
        <w:jc w:val="both"/>
        <w:rPr>
          <w:rFonts w:ascii="TimesNewRomanPSMT" w:hAnsi="TimesNewRomanPSMT" w:cs="TimesNewRomanPSMT"/>
        </w:rPr>
      </w:pPr>
      <w:r w:rsidRPr="00FE4431">
        <w:rPr>
          <w:color w:val="131313"/>
        </w:rPr>
        <w:t>Water quality monitoring was conducted at 7 stations in the study area along one year</w:t>
      </w:r>
      <w:r>
        <w:rPr>
          <w:color w:val="131313"/>
        </w:rPr>
        <w:t xml:space="preserve"> (Jan2011 to Dec 2011)</w:t>
      </w:r>
      <w:r w:rsidRPr="00FE4431">
        <w:rPr>
          <w:color w:val="131313"/>
        </w:rPr>
        <w:t xml:space="preserve">. Monitoring stations are seen at Figure 1. The selected parameters for the estimation of surface water quality characteristics were: </w:t>
      </w:r>
      <w:r w:rsidRPr="00516E84">
        <w:rPr>
          <w:color w:val="131313"/>
        </w:rPr>
        <w:t>pH, electrical conductivity (EC), total hardness (TH), biochemical oxygen demand (BOD</w:t>
      </w:r>
      <w:r w:rsidRPr="0052084B">
        <w:rPr>
          <w:color w:val="131313"/>
          <w:vertAlign w:val="subscript"/>
        </w:rPr>
        <w:t>5</w:t>
      </w:r>
      <w:r w:rsidRPr="00516E84">
        <w:rPr>
          <w:color w:val="131313"/>
        </w:rPr>
        <w:t>), fecal coliform (FC) total alkalinity (TA), turbidity (TBR), nitrate nitrogen (NO</w:t>
      </w:r>
      <w:r w:rsidRPr="00FE4431">
        <w:rPr>
          <w:color w:val="131313"/>
        </w:rPr>
        <w:t>3</w:t>
      </w:r>
      <w:r w:rsidRPr="00516E84">
        <w:rPr>
          <w:color w:val="131313"/>
        </w:rPr>
        <w:t xml:space="preserve">-N), chloride (Cl </w:t>
      </w:r>
      <w:r w:rsidRPr="00516E84">
        <w:rPr>
          <w:rFonts w:ascii="MS Mincho" w:eastAsia="MS Mincho" w:hAnsi="MS Mincho" w:cs="MS Mincho" w:hint="eastAsia"/>
          <w:color w:val="131313"/>
        </w:rPr>
        <w:t>̄</w:t>
      </w:r>
      <w:r w:rsidRPr="00516E84">
        <w:rPr>
          <w:color w:val="131313"/>
        </w:rPr>
        <w:t>), sulfate (SO</w:t>
      </w:r>
      <w:r w:rsidRPr="00FE4431">
        <w:rPr>
          <w:color w:val="131313"/>
        </w:rPr>
        <w:t>4</w:t>
      </w:r>
      <w:r w:rsidRPr="00516E84">
        <w:rPr>
          <w:color w:val="131313"/>
        </w:rPr>
        <w:t>), magnesium (Mg), calcium (Ca), total dissolved solids (TDS), and iron (Fe).</w:t>
      </w:r>
      <w:r>
        <w:rPr>
          <w:rFonts w:ascii="AdvTT3713a231" w:hAnsi="AdvTT3713a231" w:cs="AdvTT3713a231"/>
          <w:color w:val="141314"/>
          <w:sz w:val="20"/>
          <w:szCs w:val="20"/>
        </w:rPr>
        <w:t xml:space="preserve"> </w:t>
      </w:r>
      <w:r w:rsidRPr="00FE4431">
        <w:rPr>
          <w:rFonts w:ascii="TimesNewRomanPSMT" w:hAnsi="TimesNewRomanPSMT" w:cs="TimesNewRomanPSMT"/>
        </w:rPr>
        <w:t xml:space="preserve">The </w:t>
      </w:r>
      <w:r>
        <w:rPr>
          <w:rFonts w:ascii="TimesNewRomanPSMT" w:hAnsi="TimesNewRomanPSMT" w:cs="TimesNewRomanPSMT"/>
        </w:rPr>
        <w:t>measured water quality results</w:t>
      </w:r>
      <w:r w:rsidRPr="00FE4431">
        <w:rPr>
          <w:rFonts w:ascii="TimesNewRomanPSMT" w:hAnsi="TimesNewRomanPSMT" w:cs="TimesNewRomanPSMT"/>
        </w:rPr>
        <w:t xml:space="preserve"> </w:t>
      </w:r>
      <w:r>
        <w:rPr>
          <w:rFonts w:ascii="TimesNewRomanPSMT" w:hAnsi="TimesNewRomanPSMT" w:cs="TimesNewRomanPSMT"/>
        </w:rPr>
        <w:t>of</w:t>
      </w:r>
      <w:r w:rsidRPr="00FE4431">
        <w:rPr>
          <w:rFonts w:ascii="TimesNewRomanPSMT" w:hAnsi="TimesNewRomanPSMT" w:cs="TimesNewRomanPSMT"/>
        </w:rPr>
        <w:t xml:space="preserve"> </w:t>
      </w:r>
      <w:r>
        <w:rPr>
          <w:rFonts w:ascii="TimesNewRomanPSMT" w:hAnsi="TimesNewRomanPSMT" w:cs="TimesNewRomanPSMT"/>
        </w:rPr>
        <w:t>Tigris</w:t>
      </w:r>
      <w:r w:rsidRPr="00FE4431">
        <w:rPr>
          <w:rFonts w:ascii="TimesNewRomanPSMT" w:hAnsi="TimesNewRomanPSMT" w:cs="TimesNewRomanPSMT"/>
        </w:rPr>
        <w:t xml:space="preserve"> </w:t>
      </w:r>
      <w:r>
        <w:rPr>
          <w:rFonts w:ascii="TimesNewRomanPSMT" w:hAnsi="TimesNewRomanPSMT" w:cs="TimesNewRomanPSMT"/>
        </w:rPr>
        <w:t>River</w:t>
      </w:r>
      <w:r w:rsidRPr="00FE4431">
        <w:rPr>
          <w:rFonts w:ascii="TimesNewRomanPSMT" w:hAnsi="TimesNewRomanPSMT" w:cs="TimesNewRomanPSMT"/>
        </w:rPr>
        <w:t xml:space="preserve"> </w:t>
      </w:r>
      <w:r>
        <w:rPr>
          <w:rFonts w:ascii="TimesNewRomanPSMT" w:hAnsi="TimesNewRomanPSMT" w:cs="TimesNewRomanPSMT"/>
        </w:rPr>
        <w:t xml:space="preserve">for one </w:t>
      </w:r>
      <w:r w:rsidRPr="00FE4431">
        <w:rPr>
          <w:rFonts w:ascii="TimesNewRomanPSMT" w:hAnsi="TimesNewRomanPSMT" w:cs="TimesNewRomanPSMT"/>
        </w:rPr>
        <w:t xml:space="preserve">year are summarized in Table </w:t>
      </w:r>
      <w:r>
        <w:rPr>
          <w:rFonts w:ascii="TimesNewRomanPSMT" w:hAnsi="TimesNewRomanPSMT" w:cs="TimesNewRomanPSMT"/>
        </w:rPr>
        <w:t>2</w:t>
      </w:r>
      <w:r w:rsidRPr="00FE4431">
        <w:rPr>
          <w:rFonts w:ascii="TimesNewRomanPSMT" w:hAnsi="TimesNewRomanPSMT" w:cs="TimesNewRomanPSMT"/>
        </w:rPr>
        <w:t>.</w:t>
      </w:r>
    </w:p>
    <w:p w:rsidR="00EA1875" w:rsidRDefault="00EA1875" w:rsidP="00562213">
      <w:pPr>
        <w:pStyle w:val="heading3"/>
        <w:spacing w:before="0" w:after="0"/>
        <w:ind w:firstLine="567"/>
      </w:pPr>
      <w:r w:rsidRPr="0052084B">
        <w:t>Factor analysis</w:t>
      </w:r>
    </w:p>
    <w:p w:rsidR="00EA1875" w:rsidRPr="002B72A0" w:rsidRDefault="00EA1875" w:rsidP="00562213">
      <w:pPr>
        <w:autoSpaceDE w:val="0"/>
        <w:autoSpaceDN w:val="0"/>
        <w:adjustRightInd w:val="0"/>
        <w:ind w:firstLine="567"/>
        <w:jc w:val="both"/>
        <w:rPr>
          <w:color w:val="131313"/>
        </w:rPr>
      </w:pPr>
      <w:r w:rsidRPr="004F48D2">
        <w:rPr>
          <w:color w:val="131313"/>
        </w:rPr>
        <w:t xml:space="preserve">Factor analysis was applied </w:t>
      </w:r>
      <w:r>
        <w:rPr>
          <w:color w:val="131313"/>
        </w:rPr>
        <w:t xml:space="preserve">to </w:t>
      </w:r>
      <w:r w:rsidRPr="004F48D2">
        <w:rPr>
          <w:color w:val="131313"/>
        </w:rPr>
        <w:t xml:space="preserve">fourteen water quality parameters from the </w:t>
      </w:r>
      <w:r>
        <w:rPr>
          <w:color w:val="131313"/>
        </w:rPr>
        <w:t>7</w:t>
      </w:r>
      <w:r w:rsidRPr="004F48D2">
        <w:rPr>
          <w:color w:val="131313"/>
        </w:rPr>
        <w:t xml:space="preserve"> surface water quality monitoring stations situated in the Tigris river within Baghdad stretch during one year 2011</w:t>
      </w:r>
      <w:r>
        <w:rPr>
          <w:color w:val="131313"/>
        </w:rPr>
        <w:t xml:space="preserve"> using SPSS 17 (</w:t>
      </w:r>
      <w:r w:rsidRPr="002B72A0">
        <w:rPr>
          <w:color w:val="131313"/>
        </w:rPr>
        <w:t>Panda et al. 2006; Shrestha &amp; Kazama 2007)</w:t>
      </w:r>
      <w:r>
        <w:rPr>
          <w:color w:val="131313"/>
        </w:rPr>
        <w:t xml:space="preserve">. </w:t>
      </w:r>
      <w:r w:rsidRPr="0052084B">
        <w:rPr>
          <w:color w:val="131313"/>
        </w:rPr>
        <w:t>The correlation matrix of variables was generated and factors extracted by the Centroid method, rotated by Varimax rotation</w:t>
      </w:r>
      <w:r>
        <w:rPr>
          <w:color w:val="131313"/>
        </w:rPr>
        <w:t xml:space="preserve"> (Ahmed et al.</w:t>
      </w:r>
      <w:r w:rsidRPr="0052084B">
        <w:rPr>
          <w:color w:val="131313"/>
        </w:rPr>
        <w:t xml:space="preserve"> 2005). </w:t>
      </w:r>
    </w:p>
    <w:p w:rsidR="00EA1875" w:rsidRDefault="00EA1875" w:rsidP="00562213">
      <w:pPr>
        <w:autoSpaceDE w:val="0"/>
        <w:autoSpaceDN w:val="0"/>
        <w:adjustRightInd w:val="0"/>
        <w:ind w:firstLine="567"/>
        <w:jc w:val="both"/>
        <w:rPr>
          <w:color w:val="131313"/>
        </w:rPr>
      </w:pPr>
      <w:r w:rsidRPr="007C0ECB">
        <w:rPr>
          <w:color w:val="131313"/>
        </w:rPr>
        <w:t>An Eigenvalue gives a measure of the significance for the factor, which with highest Eigenvalue is the most significant. Eigenvalues of 1.0 or greater are considered significant (Kim and Mueller 1978).</w:t>
      </w:r>
      <w:r>
        <w:rPr>
          <w:color w:val="131313"/>
        </w:rPr>
        <w:t xml:space="preserve"> Therefore, </w:t>
      </w:r>
      <w:r w:rsidRPr="002B72A0">
        <w:rPr>
          <w:color w:val="131313"/>
        </w:rPr>
        <w:t xml:space="preserve">from the results of the FA, the first three eigenvalues were found to be bigger than 1 and the fourth eigenvalue was found to be slightly less than 1. </w:t>
      </w:r>
      <w:r w:rsidRPr="00631193">
        <w:rPr>
          <w:color w:val="131313"/>
        </w:rPr>
        <w:t xml:space="preserve">The screen plot of </w:t>
      </w:r>
      <w:r>
        <w:rPr>
          <w:color w:val="131313"/>
        </w:rPr>
        <w:t xml:space="preserve">the factor analysis is shown in Fig. </w:t>
      </w:r>
      <w:r w:rsidRPr="00631193">
        <w:rPr>
          <w:color w:val="131313"/>
        </w:rPr>
        <w:t xml:space="preserve">2. </w:t>
      </w:r>
    </w:p>
    <w:p w:rsidR="00EA1875" w:rsidRDefault="00EA1875" w:rsidP="00562213">
      <w:pPr>
        <w:autoSpaceDE w:val="0"/>
        <w:autoSpaceDN w:val="0"/>
        <w:adjustRightInd w:val="0"/>
        <w:jc w:val="both"/>
        <w:rPr>
          <w:color w:val="131313"/>
          <w:rtl/>
        </w:rPr>
      </w:pPr>
    </w:p>
    <w:p w:rsidR="00EA1875" w:rsidRDefault="00EA1875" w:rsidP="00562213">
      <w:pPr>
        <w:autoSpaceDE w:val="0"/>
        <w:autoSpaceDN w:val="0"/>
        <w:adjustRightInd w:val="0"/>
        <w:jc w:val="both"/>
        <w:rPr>
          <w:color w:val="131313"/>
          <w:rtl/>
        </w:rPr>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jc w:val="both"/>
        <w:rPr>
          <w:color w:val="131313"/>
          <w:rtl/>
        </w:rPr>
      </w:pPr>
    </w:p>
    <w:p w:rsidR="00EA1875" w:rsidRPr="0098647F" w:rsidRDefault="00EA1875" w:rsidP="00562213">
      <w:pPr>
        <w:autoSpaceDE w:val="0"/>
        <w:autoSpaceDN w:val="0"/>
        <w:adjustRightInd w:val="0"/>
        <w:jc w:val="both"/>
        <w:rPr>
          <w:color w:val="131313"/>
          <w:rtl/>
        </w:rPr>
      </w:pPr>
    </w:p>
    <w:p w:rsidR="00EA1875" w:rsidRPr="00C2517E" w:rsidRDefault="00EA1875" w:rsidP="00562213">
      <w:pPr>
        <w:pStyle w:val="tablelegend"/>
        <w:spacing w:before="0"/>
        <w:rPr>
          <w:sz w:val="22"/>
          <w:szCs w:val="22"/>
        </w:rPr>
      </w:pPr>
      <w:r w:rsidRPr="00C2517E">
        <w:rPr>
          <w:sz w:val="22"/>
          <w:szCs w:val="22"/>
        </w:rPr>
        <w:t>Table 2: The summary of the observed water quality of Tigris river over one year. (n=12)</w:t>
      </w:r>
    </w:p>
    <w:tbl>
      <w:tblPr>
        <w:tblW w:w="6049" w:type="pct"/>
        <w:jc w:val="center"/>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1205"/>
        <w:gridCol w:w="697"/>
        <w:gridCol w:w="1175"/>
        <w:gridCol w:w="1204"/>
        <w:gridCol w:w="1487"/>
        <w:gridCol w:w="1109"/>
        <w:gridCol w:w="1108"/>
        <w:gridCol w:w="1106"/>
        <w:gridCol w:w="1222"/>
      </w:tblGrid>
      <w:tr w:rsidR="00EA1875" w:rsidRPr="00347A18" w:rsidTr="007D4D3B">
        <w:trPr>
          <w:trHeight w:val="180"/>
          <w:jc w:val="center"/>
        </w:trPr>
        <w:tc>
          <w:tcPr>
            <w:tcW w:w="560" w:type="pct"/>
            <w:gridSpan w:val="2"/>
            <w:vMerge w:val="restart"/>
            <w:vAlign w:val="center"/>
          </w:tcPr>
          <w:p w:rsidR="00EA1875" w:rsidRPr="00F36D7C" w:rsidRDefault="00EA1875" w:rsidP="00562213">
            <w:pPr>
              <w:jc w:val="center"/>
              <w:rPr>
                <w:b/>
                <w:bCs/>
                <w:sz w:val="20"/>
                <w:szCs w:val="20"/>
              </w:rPr>
            </w:pPr>
            <w:r w:rsidRPr="00F36D7C">
              <w:rPr>
                <w:b/>
                <w:bCs/>
                <w:sz w:val="20"/>
                <w:szCs w:val="20"/>
              </w:rPr>
              <w:t>Parameters</w:t>
            </w:r>
          </w:p>
        </w:tc>
        <w:tc>
          <w:tcPr>
            <w:tcW w:w="4440" w:type="pct"/>
            <w:gridSpan w:val="8"/>
            <w:vAlign w:val="center"/>
          </w:tcPr>
          <w:p w:rsidR="00EA1875" w:rsidRPr="00F36D7C" w:rsidRDefault="00EA1875" w:rsidP="00562213">
            <w:pPr>
              <w:jc w:val="center"/>
              <w:rPr>
                <w:b/>
                <w:bCs/>
                <w:sz w:val="20"/>
                <w:szCs w:val="20"/>
              </w:rPr>
            </w:pPr>
            <w:r w:rsidRPr="00F36D7C">
              <w:rPr>
                <w:b/>
                <w:bCs/>
                <w:sz w:val="20"/>
                <w:szCs w:val="20"/>
              </w:rPr>
              <w:t>Sampling locations</w:t>
            </w:r>
          </w:p>
        </w:tc>
      </w:tr>
      <w:tr w:rsidR="00EA1875" w:rsidRPr="00347A18" w:rsidTr="007D4D3B">
        <w:trPr>
          <w:trHeight w:val="615"/>
          <w:jc w:val="center"/>
        </w:trPr>
        <w:tc>
          <w:tcPr>
            <w:tcW w:w="560" w:type="pct"/>
            <w:gridSpan w:val="2"/>
            <w:vMerge/>
            <w:vAlign w:val="center"/>
          </w:tcPr>
          <w:p w:rsidR="00EA1875" w:rsidRPr="00347A18" w:rsidRDefault="00EA1875" w:rsidP="00562213">
            <w:pPr>
              <w:jc w:val="center"/>
              <w:rPr>
                <w:sz w:val="20"/>
                <w:szCs w:val="20"/>
              </w:rPr>
            </w:pPr>
          </w:p>
        </w:tc>
        <w:tc>
          <w:tcPr>
            <w:tcW w:w="914" w:type="pct"/>
            <w:gridSpan w:val="2"/>
            <w:tcBorders>
              <w:right w:val="nil"/>
            </w:tcBorders>
            <w:vAlign w:val="center"/>
          </w:tcPr>
          <w:p w:rsidR="00EA1875" w:rsidRPr="00F36D7C" w:rsidRDefault="00EA1875" w:rsidP="00562213">
            <w:pPr>
              <w:pStyle w:val="Default"/>
              <w:jc w:val="center"/>
              <w:rPr>
                <w:i/>
                <w:iCs/>
                <w:sz w:val="20"/>
                <w:szCs w:val="20"/>
              </w:rPr>
            </w:pPr>
          </w:p>
          <w:p w:rsidR="00EA1875" w:rsidRPr="00F36D7C" w:rsidRDefault="00EA1875" w:rsidP="00562213">
            <w:pPr>
              <w:pStyle w:val="Default"/>
              <w:jc w:val="center"/>
              <w:rPr>
                <w:i/>
                <w:iCs/>
                <w:sz w:val="20"/>
                <w:szCs w:val="20"/>
              </w:rPr>
            </w:pPr>
            <w:r w:rsidRPr="00F36D7C">
              <w:rPr>
                <w:i/>
                <w:iCs/>
                <w:sz w:val="20"/>
                <w:szCs w:val="20"/>
              </w:rPr>
              <w:t xml:space="preserve">          Al-Tarmiyah</w:t>
            </w:r>
          </w:p>
          <w:p w:rsidR="00EA1875" w:rsidRPr="00F36D7C" w:rsidRDefault="00EA1875" w:rsidP="00562213">
            <w:pPr>
              <w:jc w:val="center"/>
              <w:rPr>
                <w:i/>
                <w:iCs/>
                <w:sz w:val="20"/>
                <w:szCs w:val="20"/>
              </w:rPr>
            </w:pPr>
          </w:p>
        </w:tc>
        <w:tc>
          <w:tcPr>
            <w:tcW w:w="587" w:type="pct"/>
            <w:tcBorders>
              <w:left w:val="nil"/>
              <w:right w:val="nil"/>
            </w:tcBorders>
            <w:vAlign w:val="center"/>
          </w:tcPr>
          <w:p w:rsidR="00EA1875" w:rsidRPr="00F36D7C" w:rsidRDefault="00EA1875" w:rsidP="00562213">
            <w:pPr>
              <w:jc w:val="center"/>
              <w:rPr>
                <w:i/>
                <w:iCs/>
                <w:sz w:val="20"/>
                <w:szCs w:val="20"/>
              </w:rPr>
            </w:pPr>
            <w:r w:rsidRPr="00F36D7C">
              <w:rPr>
                <w:i/>
                <w:iCs/>
                <w:sz w:val="20"/>
                <w:szCs w:val="20"/>
              </w:rPr>
              <w:t>Al-Muthana bridge</w:t>
            </w:r>
          </w:p>
        </w:tc>
        <w:tc>
          <w:tcPr>
            <w:tcW w:w="724" w:type="pct"/>
            <w:tcBorders>
              <w:left w:val="nil"/>
              <w:right w:val="nil"/>
            </w:tcBorders>
            <w:vAlign w:val="center"/>
          </w:tcPr>
          <w:p w:rsidR="00EA1875" w:rsidRPr="00F36D7C" w:rsidRDefault="00EA1875" w:rsidP="00562213">
            <w:pPr>
              <w:jc w:val="center"/>
              <w:rPr>
                <w:i/>
                <w:iCs/>
                <w:sz w:val="20"/>
                <w:szCs w:val="20"/>
              </w:rPr>
            </w:pPr>
            <w:r w:rsidRPr="00F36D7C">
              <w:rPr>
                <w:i/>
                <w:iCs/>
                <w:sz w:val="20"/>
                <w:szCs w:val="20"/>
              </w:rPr>
              <w:t>14 Ramdhdan bridge</w:t>
            </w:r>
          </w:p>
        </w:tc>
        <w:tc>
          <w:tcPr>
            <w:tcW w:w="541" w:type="pct"/>
            <w:tcBorders>
              <w:left w:val="nil"/>
              <w:right w:val="nil"/>
            </w:tcBorders>
            <w:vAlign w:val="center"/>
          </w:tcPr>
          <w:p w:rsidR="00EA1875" w:rsidRPr="00F36D7C" w:rsidRDefault="00EA1875" w:rsidP="00562213">
            <w:pPr>
              <w:jc w:val="center"/>
              <w:rPr>
                <w:i/>
                <w:iCs/>
                <w:sz w:val="20"/>
                <w:szCs w:val="20"/>
              </w:rPr>
            </w:pPr>
            <w:r w:rsidRPr="00F36D7C">
              <w:rPr>
                <w:i/>
                <w:iCs/>
                <w:sz w:val="20"/>
                <w:szCs w:val="20"/>
              </w:rPr>
              <w:t>Midical city Bridge</w:t>
            </w:r>
          </w:p>
        </w:tc>
        <w:tc>
          <w:tcPr>
            <w:tcW w:w="540" w:type="pct"/>
            <w:tcBorders>
              <w:left w:val="nil"/>
              <w:right w:val="nil"/>
            </w:tcBorders>
            <w:vAlign w:val="center"/>
          </w:tcPr>
          <w:p w:rsidR="00EA1875" w:rsidRPr="00F36D7C" w:rsidRDefault="00EA1875" w:rsidP="00562213">
            <w:pPr>
              <w:pStyle w:val="Default"/>
              <w:jc w:val="center"/>
              <w:rPr>
                <w:i/>
                <w:iCs/>
                <w:sz w:val="20"/>
                <w:szCs w:val="20"/>
              </w:rPr>
            </w:pPr>
            <w:r w:rsidRPr="00F36D7C">
              <w:rPr>
                <w:i/>
                <w:iCs/>
                <w:sz w:val="20"/>
                <w:szCs w:val="20"/>
              </w:rPr>
              <w:t>Al-Jadiriah</w:t>
            </w:r>
          </w:p>
          <w:p w:rsidR="00EA1875" w:rsidRPr="00F36D7C" w:rsidRDefault="00EA1875" w:rsidP="00562213">
            <w:pPr>
              <w:jc w:val="center"/>
              <w:rPr>
                <w:i/>
                <w:iCs/>
                <w:sz w:val="20"/>
                <w:szCs w:val="20"/>
              </w:rPr>
            </w:pPr>
            <w:r w:rsidRPr="00F36D7C">
              <w:rPr>
                <w:i/>
                <w:iCs/>
                <w:sz w:val="20"/>
                <w:szCs w:val="20"/>
              </w:rPr>
              <w:t>Bridge</w:t>
            </w:r>
          </w:p>
        </w:tc>
        <w:tc>
          <w:tcPr>
            <w:tcW w:w="539" w:type="pct"/>
            <w:tcBorders>
              <w:left w:val="nil"/>
              <w:right w:val="nil"/>
            </w:tcBorders>
            <w:vAlign w:val="center"/>
          </w:tcPr>
          <w:p w:rsidR="00EA1875" w:rsidRPr="00F36D7C" w:rsidRDefault="00EA1875" w:rsidP="00562213">
            <w:pPr>
              <w:pStyle w:val="Default"/>
              <w:jc w:val="center"/>
              <w:rPr>
                <w:i/>
                <w:iCs/>
                <w:sz w:val="20"/>
                <w:szCs w:val="20"/>
              </w:rPr>
            </w:pPr>
            <w:r w:rsidRPr="00F36D7C">
              <w:rPr>
                <w:i/>
                <w:iCs/>
                <w:sz w:val="20"/>
                <w:szCs w:val="20"/>
              </w:rPr>
              <w:t>Al-Rasheed</w:t>
            </w:r>
          </w:p>
          <w:p w:rsidR="00EA1875" w:rsidRPr="00F36D7C" w:rsidRDefault="00EA1875" w:rsidP="00562213">
            <w:pPr>
              <w:jc w:val="center"/>
              <w:rPr>
                <w:i/>
                <w:iCs/>
                <w:sz w:val="20"/>
                <w:szCs w:val="20"/>
              </w:rPr>
            </w:pPr>
          </w:p>
        </w:tc>
        <w:tc>
          <w:tcPr>
            <w:tcW w:w="596" w:type="pct"/>
            <w:tcBorders>
              <w:left w:val="nil"/>
            </w:tcBorders>
            <w:vAlign w:val="center"/>
          </w:tcPr>
          <w:p w:rsidR="00EA1875" w:rsidRPr="00F36D7C" w:rsidRDefault="00EA1875" w:rsidP="00562213">
            <w:pPr>
              <w:pStyle w:val="Default"/>
              <w:jc w:val="center"/>
              <w:rPr>
                <w:i/>
                <w:iCs/>
                <w:sz w:val="20"/>
                <w:szCs w:val="20"/>
              </w:rPr>
            </w:pPr>
            <w:r w:rsidRPr="00F36D7C">
              <w:rPr>
                <w:i/>
                <w:iCs/>
                <w:sz w:val="20"/>
                <w:szCs w:val="20"/>
              </w:rPr>
              <w:t>Al-Zafarania</w:t>
            </w:r>
          </w:p>
          <w:p w:rsidR="00EA1875" w:rsidRPr="00F36D7C" w:rsidRDefault="00EA1875" w:rsidP="00562213">
            <w:pPr>
              <w:jc w:val="center"/>
              <w:rPr>
                <w:i/>
                <w:iCs/>
                <w:sz w:val="20"/>
                <w:szCs w:val="20"/>
              </w:rPr>
            </w:pPr>
          </w:p>
        </w:tc>
      </w:tr>
      <w:tr w:rsidR="00EA1875" w:rsidRPr="00347A18" w:rsidTr="007D4D3B">
        <w:trPr>
          <w:jc w:val="center"/>
        </w:trPr>
        <w:tc>
          <w:tcPr>
            <w:tcW w:w="560" w:type="pct"/>
            <w:gridSpan w:val="2"/>
            <w:vAlign w:val="center"/>
          </w:tcPr>
          <w:p w:rsidR="00EA1875" w:rsidRPr="00347A18" w:rsidRDefault="00EA1875" w:rsidP="00562213">
            <w:pPr>
              <w:jc w:val="center"/>
              <w:rPr>
                <w:sz w:val="20"/>
                <w:szCs w:val="20"/>
              </w:rPr>
            </w:pPr>
            <w:r w:rsidRPr="00347A18">
              <w:rPr>
                <w:sz w:val="20"/>
                <w:szCs w:val="20"/>
              </w:rPr>
              <w:t>pH</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6.7</w:t>
            </w:r>
          </w:p>
          <w:p w:rsidR="00EA1875" w:rsidRPr="00347A18" w:rsidRDefault="00EA1875" w:rsidP="00562213">
            <w:pPr>
              <w:jc w:val="center"/>
              <w:rPr>
                <w:sz w:val="20"/>
                <w:szCs w:val="20"/>
              </w:rPr>
            </w:pPr>
            <w:r w:rsidRPr="00347A18">
              <w:rPr>
                <w:sz w:val="20"/>
                <w:szCs w:val="20"/>
              </w:rPr>
              <w:t>8.1</w:t>
            </w:r>
          </w:p>
          <w:p w:rsidR="00EA1875" w:rsidRPr="00347A18" w:rsidRDefault="00EA1875" w:rsidP="00562213">
            <w:pPr>
              <w:jc w:val="center"/>
              <w:rPr>
                <w:sz w:val="20"/>
                <w:szCs w:val="20"/>
              </w:rPr>
            </w:pPr>
            <w:r w:rsidRPr="00347A18">
              <w:rPr>
                <w:sz w:val="20"/>
                <w:szCs w:val="20"/>
              </w:rPr>
              <w:t>7.3</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7.3</w:t>
            </w:r>
          </w:p>
          <w:p w:rsidR="00EA1875" w:rsidRPr="00347A18" w:rsidRDefault="00EA1875" w:rsidP="00562213">
            <w:pPr>
              <w:jc w:val="center"/>
              <w:rPr>
                <w:sz w:val="20"/>
                <w:szCs w:val="20"/>
              </w:rPr>
            </w:pPr>
            <w:r w:rsidRPr="00347A18">
              <w:rPr>
                <w:sz w:val="20"/>
                <w:szCs w:val="20"/>
              </w:rPr>
              <w:t>8.1</w:t>
            </w:r>
          </w:p>
          <w:p w:rsidR="00EA1875" w:rsidRPr="00347A18" w:rsidRDefault="00EA1875" w:rsidP="00562213">
            <w:pPr>
              <w:jc w:val="center"/>
              <w:rPr>
                <w:sz w:val="20"/>
                <w:szCs w:val="20"/>
              </w:rPr>
            </w:pPr>
            <w:r w:rsidRPr="00347A18">
              <w:rPr>
                <w:sz w:val="20"/>
                <w:szCs w:val="20"/>
              </w:rPr>
              <w:t>7.8</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6.9</w:t>
            </w:r>
          </w:p>
          <w:p w:rsidR="00EA1875" w:rsidRPr="00347A18" w:rsidRDefault="00EA1875" w:rsidP="00562213">
            <w:pPr>
              <w:jc w:val="center"/>
              <w:rPr>
                <w:sz w:val="20"/>
                <w:szCs w:val="20"/>
              </w:rPr>
            </w:pPr>
            <w:r w:rsidRPr="00347A18">
              <w:rPr>
                <w:sz w:val="20"/>
                <w:szCs w:val="20"/>
              </w:rPr>
              <w:t>8.0</w:t>
            </w:r>
          </w:p>
          <w:p w:rsidR="00EA1875" w:rsidRPr="00347A18" w:rsidRDefault="00EA1875" w:rsidP="00562213">
            <w:pPr>
              <w:jc w:val="center"/>
              <w:rPr>
                <w:sz w:val="20"/>
                <w:szCs w:val="20"/>
              </w:rPr>
            </w:pPr>
            <w:r w:rsidRPr="00347A18">
              <w:rPr>
                <w:sz w:val="20"/>
                <w:szCs w:val="20"/>
              </w:rPr>
              <w:t>7.4</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6.6</w:t>
            </w:r>
          </w:p>
          <w:p w:rsidR="00EA1875" w:rsidRPr="00347A18" w:rsidRDefault="00EA1875" w:rsidP="00562213">
            <w:pPr>
              <w:jc w:val="center"/>
              <w:rPr>
                <w:sz w:val="20"/>
                <w:szCs w:val="20"/>
              </w:rPr>
            </w:pPr>
            <w:r w:rsidRPr="00347A18">
              <w:rPr>
                <w:sz w:val="20"/>
                <w:szCs w:val="20"/>
              </w:rPr>
              <w:t>7.9</w:t>
            </w:r>
          </w:p>
          <w:p w:rsidR="00EA1875" w:rsidRPr="00347A18" w:rsidRDefault="00EA1875" w:rsidP="00562213">
            <w:pPr>
              <w:jc w:val="center"/>
              <w:rPr>
                <w:sz w:val="20"/>
                <w:szCs w:val="20"/>
              </w:rPr>
            </w:pPr>
            <w:r w:rsidRPr="00347A18">
              <w:rPr>
                <w:sz w:val="20"/>
                <w:szCs w:val="20"/>
              </w:rPr>
              <w:t>7.7</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6.6</w:t>
            </w:r>
          </w:p>
          <w:p w:rsidR="00EA1875" w:rsidRPr="00347A18" w:rsidRDefault="00EA1875" w:rsidP="00562213">
            <w:pPr>
              <w:jc w:val="center"/>
              <w:rPr>
                <w:sz w:val="20"/>
                <w:szCs w:val="20"/>
              </w:rPr>
            </w:pPr>
            <w:r w:rsidRPr="00347A18">
              <w:rPr>
                <w:sz w:val="20"/>
                <w:szCs w:val="20"/>
              </w:rPr>
              <w:t>7.9</w:t>
            </w:r>
          </w:p>
          <w:p w:rsidR="00EA1875" w:rsidRPr="00347A18" w:rsidRDefault="00EA1875" w:rsidP="00562213">
            <w:pPr>
              <w:jc w:val="center"/>
              <w:rPr>
                <w:sz w:val="20"/>
                <w:szCs w:val="20"/>
              </w:rPr>
            </w:pPr>
            <w:r w:rsidRPr="00347A18">
              <w:rPr>
                <w:sz w:val="20"/>
                <w:szCs w:val="20"/>
              </w:rPr>
              <w:t>7.5</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6.7</w:t>
            </w:r>
          </w:p>
          <w:p w:rsidR="00EA1875" w:rsidRPr="00347A18" w:rsidRDefault="00EA1875" w:rsidP="00562213">
            <w:pPr>
              <w:jc w:val="center"/>
              <w:rPr>
                <w:sz w:val="20"/>
                <w:szCs w:val="20"/>
              </w:rPr>
            </w:pPr>
            <w:r w:rsidRPr="00347A18">
              <w:rPr>
                <w:sz w:val="20"/>
                <w:szCs w:val="20"/>
              </w:rPr>
              <w:t>7.8</w:t>
            </w:r>
          </w:p>
          <w:p w:rsidR="00EA1875" w:rsidRPr="00347A18" w:rsidRDefault="00EA1875" w:rsidP="00562213">
            <w:pPr>
              <w:jc w:val="center"/>
              <w:rPr>
                <w:sz w:val="20"/>
                <w:szCs w:val="20"/>
              </w:rPr>
            </w:pPr>
            <w:r w:rsidRPr="00347A18">
              <w:rPr>
                <w:sz w:val="20"/>
                <w:szCs w:val="20"/>
              </w:rPr>
              <w:t>7.2</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6.9</w:t>
            </w:r>
          </w:p>
          <w:p w:rsidR="00EA1875" w:rsidRPr="00347A18" w:rsidRDefault="00EA1875" w:rsidP="00562213">
            <w:pPr>
              <w:jc w:val="center"/>
              <w:rPr>
                <w:sz w:val="20"/>
                <w:szCs w:val="20"/>
              </w:rPr>
            </w:pPr>
            <w:r w:rsidRPr="00347A18">
              <w:rPr>
                <w:sz w:val="20"/>
                <w:szCs w:val="20"/>
              </w:rPr>
              <w:t>8.0</w:t>
            </w:r>
          </w:p>
          <w:p w:rsidR="00EA1875" w:rsidRPr="00347A18" w:rsidRDefault="00EA1875" w:rsidP="00562213">
            <w:pPr>
              <w:jc w:val="center"/>
              <w:rPr>
                <w:sz w:val="20"/>
                <w:szCs w:val="20"/>
              </w:rPr>
            </w:pPr>
            <w:r w:rsidRPr="00347A18">
              <w:rPr>
                <w:sz w:val="20"/>
                <w:szCs w:val="20"/>
              </w:rPr>
              <w:t>7.6</w:t>
            </w:r>
          </w:p>
        </w:tc>
      </w:tr>
      <w:tr w:rsidR="00EA1875" w:rsidRPr="00347A18" w:rsidTr="007D4D3B">
        <w:trPr>
          <w:jc w:val="center"/>
        </w:trPr>
        <w:tc>
          <w:tcPr>
            <w:tcW w:w="560" w:type="pct"/>
            <w:gridSpan w:val="2"/>
            <w:vAlign w:val="center"/>
          </w:tcPr>
          <w:p w:rsidR="00EA1875" w:rsidRPr="00347A18" w:rsidRDefault="00EA1875" w:rsidP="00562213">
            <w:pPr>
              <w:jc w:val="center"/>
              <w:rPr>
                <w:sz w:val="20"/>
                <w:szCs w:val="20"/>
              </w:rPr>
            </w:pPr>
            <w:r w:rsidRPr="00347A18">
              <w:rPr>
                <w:sz w:val="20"/>
                <w:szCs w:val="20"/>
              </w:rPr>
              <w:t>TBR</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17</w:t>
            </w:r>
          </w:p>
          <w:p w:rsidR="00EA1875" w:rsidRPr="00347A18" w:rsidRDefault="00EA1875" w:rsidP="00562213">
            <w:pPr>
              <w:jc w:val="center"/>
              <w:rPr>
                <w:sz w:val="20"/>
                <w:szCs w:val="20"/>
              </w:rPr>
            </w:pPr>
            <w:r w:rsidRPr="00347A18">
              <w:rPr>
                <w:sz w:val="20"/>
                <w:szCs w:val="20"/>
              </w:rPr>
              <w:t>114</w:t>
            </w:r>
          </w:p>
          <w:p w:rsidR="00EA1875" w:rsidRPr="00347A18" w:rsidRDefault="00EA1875" w:rsidP="00562213">
            <w:pPr>
              <w:jc w:val="center"/>
              <w:rPr>
                <w:sz w:val="20"/>
                <w:szCs w:val="20"/>
              </w:rPr>
            </w:pPr>
            <w:r w:rsidRPr="00347A18">
              <w:rPr>
                <w:sz w:val="20"/>
                <w:szCs w:val="20"/>
              </w:rPr>
              <w:t>39</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22</w:t>
            </w:r>
          </w:p>
          <w:p w:rsidR="00EA1875" w:rsidRPr="00347A18" w:rsidRDefault="00EA1875" w:rsidP="00562213">
            <w:pPr>
              <w:jc w:val="center"/>
              <w:rPr>
                <w:sz w:val="20"/>
                <w:szCs w:val="20"/>
              </w:rPr>
            </w:pPr>
            <w:r w:rsidRPr="00347A18">
              <w:rPr>
                <w:sz w:val="20"/>
                <w:szCs w:val="20"/>
              </w:rPr>
              <w:t>118</w:t>
            </w:r>
          </w:p>
          <w:p w:rsidR="00EA1875" w:rsidRPr="00347A18" w:rsidRDefault="00EA1875" w:rsidP="00562213">
            <w:pPr>
              <w:jc w:val="center"/>
              <w:rPr>
                <w:sz w:val="20"/>
                <w:szCs w:val="20"/>
              </w:rPr>
            </w:pPr>
            <w:r w:rsidRPr="00347A18">
              <w:rPr>
                <w:sz w:val="20"/>
                <w:szCs w:val="20"/>
              </w:rPr>
              <w:t>43</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20</w:t>
            </w:r>
          </w:p>
          <w:p w:rsidR="00EA1875" w:rsidRPr="00347A18" w:rsidRDefault="00EA1875" w:rsidP="00562213">
            <w:pPr>
              <w:jc w:val="center"/>
              <w:rPr>
                <w:sz w:val="20"/>
                <w:szCs w:val="20"/>
              </w:rPr>
            </w:pPr>
            <w:r w:rsidRPr="00347A18">
              <w:rPr>
                <w:sz w:val="20"/>
                <w:szCs w:val="20"/>
              </w:rPr>
              <w:t>82</w:t>
            </w:r>
          </w:p>
          <w:p w:rsidR="00EA1875" w:rsidRPr="00347A18" w:rsidRDefault="00EA1875" w:rsidP="00562213">
            <w:pPr>
              <w:jc w:val="center"/>
              <w:rPr>
                <w:sz w:val="20"/>
                <w:szCs w:val="20"/>
              </w:rPr>
            </w:pPr>
            <w:r w:rsidRPr="00347A18">
              <w:rPr>
                <w:sz w:val="20"/>
                <w:szCs w:val="20"/>
              </w:rPr>
              <w:t>29</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23</w:t>
            </w:r>
          </w:p>
          <w:p w:rsidR="00EA1875" w:rsidRPr="00347A18" w:rsidRDefault="00EA1875" w:rsidP="00562213">
            <w:pPr>
              <w:jc w:val="center"/>
              <w:rPr>
                <w:sz w:val="20"/>
                <w:szCs w:val="20"/>
              </w:rPr>
            </w:pPr>
            <w:r w:rsidRPr="00347A18">
              <w:rPr>
                <w:sz w:val="20"/>
                <w:szCs w:val="20"/>
              </w:rPr>
              <w:t>132</w:t>
            </w:r>
          </w:p>
          <w:p w:rsidR="00EA1875" w:rsidRPr="00347A18" w:rsidRDefault="00EA1875" w:rsidP="00562213">
            <w:pPr>
              <w:jc w:val="center"/>
              <w:rPr>
                <w:sz w:val="20"/>
                <w:szCs w:val="20"/>
              </w:rPr>
            </w:pPr>
            <w:r w:rsidRPr="00347A18">
              <w:rPr>
                <w:sz w:val="20"/>
                <w:szCs w:val="20"/>
              </w:rPr>
              <w:t>52</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23</w:t>
            </w:r>
          </w:p>
          <w:p w:rsidR="00EA1875" w:rsidRPr="00347A18" w:rsidRDefault="00EA1875" w:rsidP="00562213">
            <w:pPr>
              <w:jc w:val="center"/>
              <w:rPr>
                <w:sz w:val="20"/>
                <w:szCs w:val="20"/>
              </w:rPr>
            </w:pPr>
            <w:r w:rsidRPr="00347A18">
              <w:rPr>
                <w:sz w:val="20"/>
                <w:szCs w:val="20"/>
              </w:rPr>
              <w:t>110</w:t>
            </w:r>
          </w:p>
          <w:p w:rsidR="00EA1875" w:rsidRPr="00347A18" w:rsidRDefault="00EA1875" w:rsidP="00562213">
            <w:pPr>
              <w:jc w:val="center"/>
              <w:rPr>
                <w:sz w:val="20"/>
                <w:szCs w:val="20"/>
              </w:rPr>
            </w:pPr>
            <w:r w:rsidRPr="00347A18">
              <w:rPr>
                <w:sz w:val="20"/>
                <w:szCs w:val="20"/>
              </w:rPr>
              <w:t>53</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35</w:t>
            </w:r>
          </w:p>
          <w:p w:rsidR="00EA1875" w:rsidRPr="00347A18" w:rsidRDefault="00EA1875" w:rsidP="00562213">
            <w:pPr>
              <w:jc w:val="center"/>
              <w:rPr>
                <w:sz w:val="20"/>
                <w:szCs w:val="20"/>
              </w:rPr>
            </w:pPr>
            <w:r w:rsidRPr="00347A18">
              <w:rPr>
                <w:sz w:val="20"/>
                <w:szCs w:val="20"/>
              </w:rPr>
              <w:t>140</w:t>
            </w:r>
          </w:p>
          <w:p w:rsidR="00EA1875" w:rsidRPr="00347A18" w:rsidRDefault="00EA1875" w:rsidP="00562213">
            <w:pPr>
              <w:jc w:val="center"/>
              <w:rPr>
                <w:sz w:val="20"/>
                <w:szCs w:val="20"/>
              </w:rPr>
            </w:pPr>
            <w:r w:rsidRPr="00347A18">
              <w:rPr>
                <w:sz w:val="20"/>
                <w:szCs w:val="20"/>
              </w:rPr>
              <w:t>60</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25</w:t>
            </w:r>
          </w:p>
          <w:p w:rsidR="00EA1875" w:rsidRPr="00347A18" w:rsidRDefault="00EA1875" w:rsidP="00562213">
            <w:pPr>
              <w:jc w:val="center"/>
              <w:rPr>
                <w:sz w:val="20"/>
                <w:szCs w:val="20"/>
              </w:rPr>
            </w:pPr>
            <w:r w:rsidRPr="00347A18">
              <w:rPr>
                <w:sz w:val="20"/>
                <w:szCs w:val="20"/>
              </w:rPr>
              <w:t>110</w:t>
            </w:r>
          </w:p>
          <w:p w:rsidR="00EA1875" w:rsidRPr="00347A18" w:rsidRDefault="00EA1875" w:rsidP="00562213">
            <w:pPr>
              <w:jc w:val="center"/>
              <w:rPr>
                <w:sz w:val="20"/>
                <w:szCs w:val="20"/>
              </w:rPr>
            </w:pPr>
            <w:r w:rsidRPr="00347A18">
              <w:rPr>
                <w:sz w:val="20"/>
                <w:szCs w:val="20"/>
              </w:rPr>
              <w:t>83</w:t>
            </w:r>
          </w:p>
        </w:tc>
      </w:tr>
      <w:tr w:rsidR="00EA1875" w:rsidRPr="00347A18" w:rsidTr="007D4D3B">
        <w:trPr>
          <w:jc w:val="center"/>
        </w:trPr>
        <w:tc>
          <w:tcPr>
            <w:tcW w:w="560" w:type="pct"/>
            <w:gridSpan w:val="2"/>
            <w:vAlign w:val="center"/>
          </w:tcPr>
          <w:p w:rsidR="00EA1875" w:rsidRPr="00347A18" w:rsidRDefault="00EA1875" w:rsidP="00562213">
            <w:pPr>
              <w:jc w:val="center"/>
              <w:rPr>
                <w:sz w:val="20"/>
                <w:szCs w:val="20"/>
              </w:rPr>
            </w:pPr>
            <w:r w:rsidRPr="00347A18">
              <w:rPr>
                <w:sz w:val="20"/>
                <w:szCs w:val="20"/>
              </w:rPr>
              <w:t>T.A</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118</w:t>
            </w:r>
          </w:p>
          <w:p w:rsidR="00EA1875" w:rsidRPr="00347A18" w:rsidRDefault="00EA1875" w:rsidP="00562213">
            <w:pPr>
              <w:jc w:val="center"/>
              <w:rPr>
                <w:sz w:val="20"/>
                <w:szCs w:val="20"/>
              </w:rPr>
            </w:pPr>
            <w:r w:rsidRPr="00347A18">
              <w:rPr>
                <w:sz w:val="20"/>
                <w:szCs w:val="20"/>
              </w:rPr>
              <w:t>144</w:t>
            </w:r>
          </w:p>
          <w:p w:rsidR="00EA1875" w:rsidRPr="00347A18" w:rsidRDefault="00EA1875" w:rsidP="00562213">
            <w:pPr>
              <w:jc w:val="center"/>
              <w:rPr>
                <w:sz w:val="20"/>
                <w:szCs w:val="20"/>
              </w:rPr>
            </w:pPr>
            <w:r w:rsidRPr="00347A18">
              <w:rPr>
                <w:sz w:val="20"/>
                <w:szCs w:val="20"/>
              </w:rPr>
              <w:t>139</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118</w:t>
            </w:r>
          </w:p>
          <w:p w:rsidR="00EA1875" w:rsidRPr="00347A18" w:rsidRDefault="00EA1875" w:rsidP="00562213">
            <w:pPr>
              <w:jc w:val="center"/>
              <w:rPr>
                <w:sz w:val="20"/>
                <w:szCs w:val="20"/>
              </w:rPr>
            </w:pPr>
            <w:r w:rsidRPr="00347A18">
              <w:rPr>
                <w:sz w:val="20"/>
                <w:szCs w:val="20"/>
              </w:rPr>
              <w:t>147</w:t>
            </w:r>
          </w:p>
          <w:p w:rsidR="00EA1875" w:rsidRPr="00347A18" w:rsidRDefault="00EA1875" w:rsidP="00562213">
            <w:pPr>
              <w:jc w:val="center"/>
              <w:rPr>
                <w:sz w:val="20"/>
                <w:szCs w:val="20"/>
              </w:rPr>
            </w:pPr>
            <w:r w:rsidRPr="00347A18">
              <w:rPr>
                <w:sz w:val="20"/>
                <w:szCs w:val="20"/>
              </w:rPr>
              <w:t>140</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111</w:t>
            </w:r>
          </w:p>
          <w:p w:rsidR="00EA1875" w:rsidRPr="00347A18" w:rsidRDefault="00EA1875" w:rsidP="00562213">
            <w:pPr>
              <w:jc w:val="center"/>
              <w:rPr>
                <w:sz w:val="20"/>
                <w:szCs w:val="20"/>
              </w:rPr>
            </w:pPr>
            <w:r w:rsidRPr="00347A18">
              <w:rPr>
                <w:sz w:val="20"/>
                <w:szCs w:val="20"/>
              </w:rPr>
              <w:t>145</w:t>
            </w:r>
          </w:p>
          <w:p w:rsidR="00EA1875" w:rsidRPr="00347A18" w:rsidRDefault="00EA1875" w:rsidP="00562213">
            <w:pPr>
              <w:jc w:val="center"/>
              <w:rPr>
                <w:sz w:val="20"/>
                <w:szCs w:val="20"/>
              </w:rPr>
            </w:pPr>
            <w:r w:rsidRPr="00347A18">
              <w:rPr>
                <w:sz w:val="20"/>
                <w:szCs w:val="20"/>
              </w:rPr>
              <w:t>132</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131</w:t>
            </w:r>
          </w:p>
          <w:p w:rsidR="00EA1875" w:rsidRPr="00347A18" w:rsidRDefault="00EA1875" w:rsidP="00562213">
            <w:pPr>
              <w:jc w:val="center"/>
              <w:rPr>
                <w:sz w:val="20"/>
                <w:szCs w:val="20"/>
              </w:rPr>
            </w:pPr>
            <w:r w:rsidRPr="00347A18">
              <w:rPr>
                <w:sz w:val="20"/>
                <w:szCs w:val="20"/>
              </w:rPr>
              <w:t>170</w:t>
            </w:r>
          </w:p>
          <w:p w:rsidR="00EA1875" w:rsidRPr="00347A18" w:rsidRDefault="00EA1875" w:rsidP="00562213">
            <w:pPr>
              <w:jc w:val="center"/>
              <w:rPr>
                <w:sz w:val="20"/>
                <w:szCs w:val="20"/>
              </w:rPr>
            </w:pPr>
            <w:r w:rsidRPr="00347A18">
              <w:rPr>
                <w:sz w:val="20"/>
                <w:szCs w:val="20"/>
              </w:rPr>
              <w:t>161</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109</w:t>
            </w:r>
          </w:p>
          <w:p w:rsidR="00EA1875" w:rsidRPr="00347A18" w:rsidRDefault="00EA1875" w:rsidP="00562213">
            <w:pPr>
              <w:jc w:val="center"/>
              <w:rPr>
                <w:sz w:val="20"/>
                <w:szCs w:val="20"/>
              </w:rPr>
            </w:pPr>
            <w:r w:rsidRPr="00347A18">
              <w:rPr>
                <w:sz w:val="20"/>
                <w:szCs w:val="20"/>
              </w:rPr>
              <w:t>141</w:t>
            </w:r>
          </w:p>
          <w:p w:rsidR="00EA1875" w:rsidRPr="00347A18" w:rsidRDefault="00EA1875" w:rsidP="00562213">
            <w:pPr>
              <w:jc w:val="center"/>
              <w:rPr>
                <w:sz w:val="20"/>
                <w:szCs w:val="20"/>
              </w:rPr>
            </w:pPr>
            <w:r w:rsidRPr="00347A18">
              <w:rPr>
                <w:sz w:val="20"/>
                <w:szCs w:val="20"/>
              </w:rPr>
              <w:t>132</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120</w:t>
            </w:r>
          </w:p>
          <w:p w:rsidR="00EA1875" w:rsidRPr="00347A18" w:rsidRDefault="00EA1875" w:rsidP="00562213">
            <w:pPr>
              <w:jc w:val="center"/>
              <w:rPr>
                <w:sz w:val="20"/>
                <w:szCs w:val="20"/>
              </w:rPr>
            </w:pPr>
            <w:r w:rsidRPr="00347A18">
              <w:rPr>
                <w:sz w:val="20"/>
                <w:szCs w:val="20"/>
              </w:rPr>
              <w:t>169</w:t>
            </w:r>
          </w:p>
          <w:p w:rsidR="00EA1875" w:rsidRPr="00347A18" w:rsidRDefault="00EA1875" w:rsidP="00562213">
            <w:pPr>
              <w:jc w:val="center"/>
              <w:rPr>
                <w:sz w:val="20"/>
                <w:szCs w:val="20"/>
              </w:rPr>
            </w:pPr>
            <w:r w:rsidRPr="00347A18">
              <w:rPr>
                <w:sz w:val="20"/>
                <w:szCs w:val="20"/>
              </w:rPr>
              <w:t>155</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130</w:t>
            </w:r>
          </w:p>
          <w:p w:rsidR="00EA1875" w:rsidRPr="00347A18" w:rsidRDefault="00EA1875" w:rsidP="00562213">
            <w:pPr>
              <w:jc w:val="center"/>
              <w:rPr>
                <w:sz w:val="20"/>
                <w:szCs w:val="20"/>
              </w:rPr>
            </w:pPr>
            <w:r w:rsidRPr="00347A18">
              <w:rPr>
                <w:sz w:val="20"/>
                <w:szCs w:val="20"/>
              </w:rPr>
              <w:t>136</w:t>
            </w:r>
          </w:p>
          <w:p w:rsidR="00EA1875" w:rsidRPr="00347A18" w:rsidRDefault="00EA1875" w:rsidP="00562213">
            <w:pPr>
              <w:jc w:val="center"/>
              <w:rPr>
                <w:sz w:val="20"/>
                <w:szCs w:val="20"/>
              </w:rPr>
            </w:pPr>
            <w:r w:rsidRPr="00347A18">
              <w:rPr>
                <w:sz w:val="20"/>
                <w:szCs w:val="20"/>
              </w:rPr>
              <w:t>154</w:t>
            </w:r>
          </w:p>
        </w:tc>
      </w:tr>
      <w:tr w:rsidR="00EA1875" w:rsidRPr="00347A18" w:rsidTr="007D4D3B">
        <w:trPr>
          <w:jc w:val="center"/>
        </w:trPr>
        <w:tc>
          <w:tcPr>
            <w:tcW w:w="560" w:type="pct"/>
            <w:gridSpan w:val="2"/>
            <w:vAlign w:val="center"/>
          </w:tcPr>
          <w:p w:rsidR="00EA1875" w:rsidRPr="00347A18" w:rsidRDefault="00EA1875" w:rsidP="00562213">
            <w:pPr>
              <w:jc w:val="center"/>
              <w:rPr>
                <w:sz w:val="20"/>
                <w:szCs w:val="20"/>
              </w:rPr>
            </w:pPr>
            <w:r w:rsidRPr="00347A18">
              <w:rPr>
                <w:sz w:val="20"/>
                <w:szCs w:val="20"/>
              </w:rPr>
              <w:t>T.H</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182</w:t>
            </w:r>
          </w:p>
          <w:p w:rsidR="00EA1875" w:rsidRPr="00347A18" w:rsidRDefault="00EA1875" w:rsidP="00562213">
            <w:pPr>
              <w:jc w:val="center"/>
              <w:rPr>
                <w:sz w:val="20"/>
                <w:szCs w:val="20"/>
              </w:rPr>
            </w:pPr>
            <w:r w:rsidRPr="00347A18">
              <w:rPr>
                <w:sz w:val="20"/>
                <w:szCs w:val="20"/>
              </w:rPr>
              <w:t>372</w:t>
            </w:r>
          </w:p>
          <w:p w:rsidR="00EA1875" w:rsidRPr="00347A18" w:rsidRDefault="00EA1875" w:rsidP="00562213">
            <w:pPr>
              <w:jc w:val="center"/>
              <w:rPr>
                <w:sz w:val="20"/>
                <w:szCs w:val="20"/>
              </w:rPr>
            </w:pPr>
            <w:r w:rsidRPr="00347A18">
              <w:rPr>
                <w:sz w:val="20"/>
                <w:szCs w:val="20"/>
              </w:rPr>
              <w:t>234</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220</w:t>
            </w:r>
          </w:p>
          <w:p w:rsidR="00EA1875" w:rsidRPr="00347A18" w:rsidRDefault="00EA1875" w:rsidP="00562213">
            <w:pPr>
              <w:jc w:val="center"/>
              <w:rPr>
                <w:sz w:val="20"/>
                <w:szCs w:val="20"/>
              </w:rPr>
            </w:pPr>
            <w:r w:rsidRPr="00347A18">
              <w:rPr>
                <w:sz w:val="20"/>
                <w:szCs w:val="20"/>
              </w:rPr>
              <w:t>356</w:t>
            </w:r>
          </w:p>
          <w:p w:rsidR="00EA1875" w:rsidRPr="00347A18" w:rsidRDefault="00EA1875" w:rsidP="00562213">
            <w:pPr>
              <w:jc w:val="center"/>
              <w:rPr>
                <w:sz w:val="20"/>
                <w:szCs w:val="20"/>
              </w:rPr>
            </w:pPr>
            <w:r w:rsidRPr="00347A18">
              <w:rPr>
                <w:sz w:val="20"/>
                <w:szCs w:val="20"/>
              </w:rPr>
              <w:t>254</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200</w:t>
            </w:r>
          </w:p>
          <w:p w:rsidR="00EA1875" w:rsidRPr="00347A18" w:rsidRDefault="00EA1875" w:rsidP="00562213">
            <w:pPr>
              <w:jc w:val="center"/>
              <w:rPr>
                <w:sz w:val="20"/>
                <w:szCs w:val="20"/>
              </w:rPr>
            </w:pPr>
            <w:r w:rsidRPr="00347A18">
              <w:rPr>
                <w:sz w:val="20"/>
                <w:szCs w:val="20"/>
              </w:rPr>
              <w:t>340</w:t>
            </w:r>
          </w:p>
          <w:p w:rsidR="00EA1875" w:rsidRPr="00347A18" w:rsidRDefault="00EA1875" w:rsidP="00562213">
            <w:pPr>
              <w:jc w:val="center"/>
              <w:rPr>
                <w:sz w:val="20"/>
                <w:szCs w:val="20"/>
              </w:rPr>
            </w:pPr>
            <w:r w:rsidRPr="00347A18">
              <w:rPr>
                <w:sz w:val="20"/>
                <w:szCs w:val="20"/>
              </w:rPr>
              <w:t>267</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244</w:t>
            </w:r>
          </w:p>
          <w:p w:rsidR="00EA1875" w:rsidRPr="00347A18" w:rsidRDefault="00EA1875" w:rsidP="00562213">
            <w:pPr>
              <w:jc w:val="center"/>
              <w:rPr>
                <w:sz w:val="20"/>
                <w:szCs w:val="20"/>
              </w:rPr>
            </w:pPr>
            <w:r w:rsidRPr="00347A18">
              <w:rPr>
                <w:sz w:val="20"/>
                <w:szCs w:val="20"/>
              </w:rPr>
              <w:t>395</w:t>
            </w:r>
          </w:p>
          <w:p w:rsidR="00EA1875" w:rsidRPr="00347A18" w:rsidRDefault="00EA1875" w:rsidP="00562213">
            <w:pPr>
              <w:jc w:val="center"/>
              <w:rPr>
                <w:sz w:val="20"/>
                <w:szCs w:val="20"/>
              </w:rPr>
            </w:pPr>
            <w:r w:rsidRPr="00347A18">
              <w:rPr>
                <w:sz w:val="20"/>
                <w:szCs w:val="20"/>
              </w:rPr>
              <w:t>291</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230</w:t>
            </w:r>
          </w:p>
          <w:p w:rsidR="00EA1875" w:rsidRPr="00347A18" w:rsidRDefault="00EA1875" w:rsidP="00562213">
            <w:pPr>
              <w:jc w:val="center"/>
              <w:rPr>
                <w:sz w:val="20"/>
                <w:szCs w:val="20"/>
              </w:rPr>
            </w:pPr>
            <w:r w:rsidRPr="00347A18">
              <w:rPr>
                <w:sz w:val="20"/>
                <w:szCs w:val="20"/>
              </w:rPr>
              <w:t>352</w:t>
            </w:r>
          </w:p>
          <w:p w:rsidR="00EA1875" w:rsidRPr="00347A18" w:rsidRDefault="00EA1875" w:rsidP="00562213">
            <w:pPr>
              <w:jc w:val="center"/>
              <w:rPr>
                <w:sz w:val="20"/>
                <w:szCs w:val="20"/>
              </w:rPr>
            </w:pPr>
            <w:r w:rsidRPr="00347A18">
              <w:rPr>
                <w:sz w:val="20"/>
                <w:szCs w:val="20"/>
              </w:rPr>
              <w:t>302</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220</w:t>
            </w:r>
          </w:p>
          <w:p w:rsidR="00EA1875" w:rsidRPr="00347A18" w:rsidRDefault="00EA1875" w:rsidP="00562213">
            <w:pPr>
              <w:jc w:val="center"/>
              <w:rPr>
                <w:sz w:val="20"/>
                <w:szCs w:val="20"/>
              </w:rPr>
            </w:pPr>
            <w:r w:rsidRPr="00347A18">
              <w:rPr>
                <w:sz w:val="20"/>
                <w:szCs w:val="20"/>
              </w:rPr>
              <w:t>300</w:t>
            </w:r>
          </w:p>
          <w:p w:rsidR="00EA1875" w:rsidRPr="00347A18" w:rsidRDefault="00EA1875" w:rsidP="00562213">
            <w:pPr>
              <w:jc w:val="center"/>
              <w:rPr>
                <w:sz w:val="20"/>
                <w:szCs w:val="20"/>
              </w:rPr>
            </w:pPr>
            <w:r w:rsidRPr="00347A18">
              <w:rPr>
                <w:sz w:val="20"/>
                <w:szCs w:val="20"/>
              </w:rPr>
              <w:t>257</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250</w:t>
            </w:r>
          </w:p>
          <w:p w:rsidR="00EA1875" w:rsidRPr="00347A18" w:rsidRDefault="00EA1875" w:rsidP="00562213">
            <w:pPr>
              <w:jc w:val="center"/>
              <w:rPr>
                <w:sz w:val="20"/>
                <w:szCs w:val="20"/>
              </w:rPr>
            </w:pPr>
            <w:r w:rsidRPr="00347A18">
              <w:rPr>
                <w:sz w:val="20"/>
                <w:szCs w:val="20"/>
              </w:rPr>
              <w:t>330</w:t>
            </w:r>
          </w:p>
          <w:p w:rsidR="00EA1875" w:rsidRPr="00347A18" w:rsidRDefault="00EA1875" w:rsidP="00562213">
            <w:pPr>
              <w:jc w:val="center"/>
              <w:rPr>
                <w:sz w:val="20"/>
                <w:szCs w:val="20"/>
              </w:rPr>
            </w:pPr>
            <w:r w:rsidRPr="00347A18">
              <w:rPr>
                <w:sz w:val="20"/>
                <w:szCs w:val="20"/>
              </w:rPr>
              <w:t>297</w:t>
            </w:r>
          </w:p>
        </w:tc>
      </w:tr>
      <w:tr w:rsidR="00EA1875" w:rsidRPr="00347A18" w:rsidTr="007D4D3B">
        <w:trPr>
          <w:jc w:val="center"/>
        </w:trPr>
        <w:tc>
          <w:tcPr>
            <w:tcW w:w="560" w:type="pct"/>
            <w:gridSpan w:val="2"/>
            <w:vAlign w:val="center"/>
          </w:tcPr>
          <w:p w:rsidR="00EA1875" w:rsidRPr="00347A18" w:rsidRDefault="00EA1875" w:rsidP="00562213">
            <w:pPr>
              <w:jc w:val="center"/>
              <w:rPr>
                <w:sz w:val="20"/>
                <w:szCs w:val="20"/>
              </w:rPr>
            </w:pPr>
            <w:r w:rsidRPr="00347A18">
              <w:rPr>
                <w:sz w:val="20"/>
                <w:szCs w:val="20"/>
              </w:rPr>
              <w:t>EC</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393</w:t>
            </w:r>
          </w:p>
          <w:p w:rsidR="00EA1875" w:rsidRPr="00347A18" w:rsidRDefault="00EA1875" w:rsidP="00562213">
            <w:pPr>
              <w:jc w:val="center"/>
              <w:rPr>
                <w:sz w:val="20"/>
                <w:szCs w:val="20"/>
              </w:rPr>
            </w:pPr>
            <w:r w:rsidRPr="00347A18">
              <w:rPr>
                <w:sz w:val="20"/>
                <w:szCs w:val="20"/>
              </w:rPr>
              <w:t>546</w:t>
            </w:r>
          </w:p>
          <w:p w:rsidR="00EA1875" w:rsidRPr="00347A18" w:rsidRDefault="00EA1875" w:rsidP="00562213">
            <w:pPr>
              <w:jc w:val="center"/>
              <w:rPr>
                <w:sz w:val="20"/>
                <w:szCs w:val="20"/>
              </w:rPr>
            </w:pPr>
            <w:r w:rsidRPr="00347A18">
              <w:rPr>
                <w:sz w:val="20"/>
                <w:szCs w:val="20"/>
              </w:rPr>
              <w:t>447</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416</w:t>
            </w:r>
          </w:p>
          <w:p w:rsidR="00EA1875" w:rsidRPr="00347A18" w:rsidRDefault="00EA1875" w:rsidP="00562213">
            <w:pPr>
              <w:jc w:val="center"/>
              <w:rPr>
                <w:sz w:val="20"/>
                <w:szCs w:val="20"/>
              </w:rPr>
            </w:pPr>
            <w:r w:rsidRPr="00347A18">
              <w:rPr>
                <w:sz w:val="20"/>
                <w:szCs w:val="20"/>
              </w:rPr>
              <w:t>840</w:t>
            </w:r>
          </w:p>
          <w:p w:rsidR="00EA1875" w:rsidRPr="00347A18" w:rsidRDefault="00EA1875" w:rsidP="00562213">
            <w:pPr>
              <w:jc w:val="center"/>
              <w:rPr>
                <w:sz w:val="20"/>
                <w:szCs w:val="20"/>
              </w:rPr>
            </w:pPr>
            <w:r w:rsidRPr="00347A18">
              <w:rPr>
                <w:sz w:val="20"/>
                <w:szCs w:val="20"/>
              </w:rPr>
              <w:t>520</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402</w:t>
            </w:r>
          </w:p>
          <w:p w:rsidR="00EA1875" w:rsidRPr="00347A18" w:rsidRDefault="00EA1875" w:rsidP="00562213">
            <w:pPr>
              <w:jc w:val="center"/>
              <w:rPr>
                <w:sz w:val="20"/>
                <w:szCs w:val="20"/>
              </w:rPr>
            </w:pPr>
            <w:r w:rsidRPr="00347A18">
              <w:rPr>
                <w:sz w:val="20"/>
                <w:szCs w:val="20"/>
              </w:rPr>
              <w:t>747</w:t>
            </w:r>
          </w:p>
          <w:p w:rsidR="00EA1875" w:rsidRPr="00347A18" w:rsidRDefault="00EA1875" w:rsidP="00562213">
            <w:pPr>
              <w:jc w:val="center"/>
              <w:rPr>
                <w:sz w:val="20"/>
                <w:szCs w:val="20"/>
              </w:rPr>
            </w:pPr>
            <w:r w:rsidRPr="00347A18">
              <w:rPr>
                <w:sz w:val="20"/>
                <w:szCs w:val="20"/>
              </w:rPr>
              <w:t>512</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666</w:t>
            </w:r>
          </w:p>
          <w:p w:rsidR="00EA1875" w:rsidRPr="00347A18" w:rsidRDefault="00EA1875" w:rsidP="00562213">
            <w:pPr>
              <w:jc w:val="center"/>
              <w:rPr>
                <w:sz w:val="20"/>
                <w:szCs w:val="20"/>
              </w:rPr>
            </w:pPr>
            <w:r w:rsidRPr="00347A18">
              <w:rPr>
                <w:sz w:val="20"/>
                <w:szCs w:val="20"/>
              </w:rPr>
              <w:t>1</w:t>
            </w:r>
            <w:r>
              <w:rPr>
                <w:sz w:val="20"/>
                <w:szCs w:val="20"/>
              </w:rPr>
              <w:t>1</w:t>
            </w:r>
            <w:r w:rsidRPr="00347A18">
              <w:rPr>
                <w:sz w:val="20"/>
                <w:szCs w:val="20"/>
              </w:rPr>
              <w:t>32</w:t>
            </w:r>
          </w:p>
          <w:p w:rsidR="00EA1875" w:rsidRPr="00347A18" w:rsidRDefault="00EA1875" w:rsidP="00562213">
            <w:pPr>
              <w:jc w:val="center"/>
              <w:rPr>
                <w:sz w:val="20"/>
                <w:szCs w:val="20"/>
              </w:rPr>
            </w:pPr>
            <w:r>
              <w:rPr>
                <w:sz w:val="20"/>
                <w:szCs w:val="20"/>
              </w:rPr>
              <w:t>8</w:t>
            </w:r>
            <w:r w:rsidRPr="00347A18">
              <w:rPr>
                <w:sz w:val="20"/>
                <w:szCs w:val="20"/>
              </w:rPr>
              <w:t>94</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720</w:t>
            </w:r>
          </w:p>
          <w:p w:rsidR="00EA1875" w:rsidRPr="00347A18" w:rsidRDefault="00EA1875" w:rsidP="00562213">
            <w:pPr>
              <w:jc w:val="center"/>
              <w:rPr>
                <w:sz w:val="20"/>
                <w:szCs w:val="20"/>
              </w:rPr>
            </w:pPr>
            <w:r w:rsidRPr="00347A18">
              <w:rPr>
                <w:sz w:val="20"/>
                <w:szCs w:val="20"/>
              </w:rPr>
              <w:t>1</w:t>
            </w:r>
            <w:r>
              <w:rPr>
                <w:sz w:val="20"/>
                <w:szCs w:val="20"/>
              </w:rPr>
              <w:t>1</w:t>
            </w:r>
            <w:r w:rsidRPr="00347A18">
              <w:rPr>
                <w:sz w:val="20"/>
                <w:szCs w:val="20"/>
              </w:rPr>
              <w:t>12</w:t>
            </w:r>
          </w:p>
          <w:p w:rsidR="00EA1875" w:rsidRPr="00347A18" w:rsidRDefault="00EA1875" w:rsidP="00562213">
            <w:pPr>
              <w:jc w:val="center"/>
              <w:rPr>
                <w:sz w:val="20"/>
                <w:szCs w:val="20"/>
              </w:rPr>
            </w:pPr>
            <w:r w:rsidRPr="00347A18">
              <w:rPr>
                <w:sz w:val="20"/>
                <w:szCs w:val="20"/>
              </w:rPr>
              <w:t>869</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594</w:t>
            </w:r>
          </w:p>
          <w:p w:rsidR="00EA1875" w:rsidRPr="00347A18" w:rsidRDefault="00EA1875" w:rsidP="00562213">
            <w:pPr>
              <w:jc w:val="center"/>
              <w:rPr>
                <w:sz w:val="20"/>
                <w:szCs w:val="20"/>
              </w:rPr>
            </w:pPr>
            <w:r w:rsidRPr="00347A18">
              <w:rPr>
                <w:sz w:val="20"/>
                <w:szCs w:val="20"/>
              </w:rPr>
              <w:t>890</w:t>
            </w:r>
          </w:p>
          <w:p w:rsidR="00EA1875" w:rsidRPr="00347A18" w:rsidRDefault="00EA1875" w:rsidP="00562213">
            <w:pPr>
              <w:jc w:val="center"/>
              <w:rPr>
                <w:sz w:val="20"/>
                <w:szCs w:val="20"/>
              </w:rPr>
            </w:pPr>
            <w:r w:rsidRPr="00347A18">
              <w:rPr>
                <w:sz w:val="20"/>
                <w:szCs w:val="20"/>
              </w:rPr>
              <w:t>684</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610</w:t>
            </w:r>
          </w:p>
          <w:p w:rsidR="00EA1875" w:rsidRPr="00347A18" w:rsidRDefault="00EA1875" w:rsidP="00562213">
            <w:pPr>
              <w:jc w:val="center"/>
              <w:rPr>
                <w:sz w:val="20"/>
                <w:szCs w:val="20"/>
              </w:rPr>
            </w:pPr>
            <w:r w:rsidRPr="00347A18">
              <w:rPr>
                <w:sz w:val="20"/>
                <w:szCs w:val="20"/>
              </w:rPr>
              <w:t>1019</w:t>
            </w:r>
          </w:p>
          <w:p w:rsidR="00EA1875" w:rsidRPr="00347A18" w:rsidRDefault="00EA1875" w:rsidP="00562213">
            <w:pPr>
              <w:jc w:val="center"/>
              <w:rPr>
                <w:sz w:val="20"/>
                <w:szCs w:val="20"/>
              </w:rPr>
            </w:pPr>
            <w:r w:rsidRPr="00347A18">
              <w:rPr>
                <w:sz w:val="20"/>
                <w:szCs w:val="20"/>
              </w:rPr>
              <w:t>842</w:t>
            </w:r>
          </w:p>
        </w:tc>
      </w:tr>
      <w:tr w:rsidR="00EA1875" w:rsidRPr="00347A18" w:rsidTr="007D4D3B">
        <w:trPr>
          <w:jc w:val="center"/>
        </w:trPr>
        <w:tc>
          <w:tcPr>
            <w:tcW w:w="560" w:type="pct"/>
            <w:gridSpan w:val="2"/>
            <w:vAlign w:val="center"/>
          </w:tcPr>
          <w:p w:rsidR="00EA1875" w:rsidRPr="00347A18" w:rsidRDefault="00EA1875" w:rsidP="00562213">
            <w:pPr>
              <w:jc w:val="center"/>
              <w:rPr>
                <w:sz w:val="20"/>
                <w:szCs w:val="20"/>
              </w:rPr>
            </w:pPr>
            <w:r w:rsidRPr="00347A18">
              <w:rPr>
                <w:sz w:val="20"/>
                <w:szCs w:val="20"/>
              </w:rPr>
              <w:t>TDS</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190</w:t>
            </w:r>
          </w:p>
          <w:p w:rsidR="00EA1875" w:rsidRPr="00347A18" w:rsidRDefault="00EA1875" w:rsidP="00562213">
            <w:pPr>
              <w:jc w:val="center"/>
              <w:rPr>
                <w:sz w:val="20"/>
                <w:szCs w:val="20"/>
              </w:rPr>
            </w:pPr>
            <w:r w:rsidRPr="00347A18">
              <w:rPr>
                <w:sz w:val="20"/>
                <w:szCs w:val="20"/>
              </w:rPr>
              <w:t>372</w:t>
            </w:r>
          </w:p>
          <w:p w:rsidR="00EA1875" w:rsidRPr="00347A18" w:rsidRDefault="00EA1875" w:rsidP="00562213">
            <w:pPr>
              <w:jc w:val="center"/>
              <w:rPr>
                <w:sz w:val="20"/>
                <w:szCs w:val="20"/>
              </w:rPr>
            </w:pPr>
            <w:r w:rsidRPr="00347A18">
              <w:rPr>
                <w:sz w:val="20"/>
                <w:szCs w:val="20"/>
              </w:rPr>
              <w:t>278</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256</w:t>
            </w:r>
          </w:p>
          <w:p w:rsidR="00EA1875" w:rsidRPr="00347A18" w:rsidRDefault="00EA1875" w:rsidP="00562213">
            <w:pPr>
              <w:jc w:val="center"/>
              <w:rPr>
                <w:sz w:val="20"/>
                <w:szCs w:val="20"/>
              </w:rPr>
            </w:pPr>
            <w:r w:rsidRPr="00347A18">
              <w:rPr>
                <w:sz w:val="20"/>
                <w:szCs w:val="20"/>
              </w:rPr>
              <w:t>540</w:t>
            </w:r>
          </w:p>
          <w:p w:rsidR="00EA1875" w:rsidRPr="00347A18" w:rsidRDefault="00EA1875" w:rsidP="00562213">
            <w:pPr>
              <w:jc w:val="center"/>
              <w:rPr>
                <w:sz w:val="20"/>
                <w:szCs w:val="20"/>
              </w:rPr>
            </w:pPr>
            <w:r w:rsidRPr="00347A18">
              <w:rPr>
                <w:sz w:val="20"/>
                <w:szCs w:val="20"/>
              </w:rPr>
              <w:t>360</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243</w:t>
            </w:r>
          </w:p>
          <w:p w:rsidR="00EA1875" w:rsidRPr="00347A18" w:rsidRDefault="00EA1875" w:rsidP="00562213">
            <w:pPr>
              <w:jc w:val="center"/>
              <w:rPr>
                <w:sz w:val="20"/>
                <w:szCs w:val="20"/>
              </w:rPr>
            </w:pPr>
            <w:r w:rsidRPr="00347A18">
              <w:rPr>
                <w:sz w:val="20"/>
                <w:szCs w:val="20"/>
              </w:rPr>
              <w:t>516</w:t>
            </w:r>
          </w:p>
          <w:p w:rsidR="00EA1875" w:rsidRPr="00347A18" w:rsidRDefault="00EA1875" w:rsidP="00562213">
            <w:pPr>
              <w:jc w:val="center"/>
              <w:rPr>
                <w:sz w:val="20"/>
                <w:szCs w:val="20"/>
              </w:rPr>
            </w:pPr>
            <w:r w:rsidRPr="00347A18">
              <w:rPr>
                <w:sz w:val="20"/>
                <w:szCs w:val="20"/>
              </w:rPr>
              <w:t>362</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351</w:t>
            </w:r>
          </w:p>
          <w:p w:rsidR="00EA1875" w:rsidRPr="00347A18" w:rsidRDefault="00EA1875" w:rsidP="00562213">
            <w:pPr>
              <w:jc w:val="center"/>
              <w:rPr>
                <w:sz w:val="20"/>
                <w:szCs w:val="20"/>
              </w:rPr>
            </w:pPr>
            <w:r>
              <w:rPr>
                <w:sz w:val="20"/>
                <w:szCs w:val="20"/>
              </w:rPr>
              <w:t>1012</w:t>
            </w:r>
          </w:p>
          <w:p w:rsidR="00EA1875" w:rsidRPr="00347A18" w:rsidRDefault="00EA1875" w:rsidP="00562213">
            <w:pPr>
              <w:jc w:val="center"/>
              <w:rPr>
                <w:sz w:val="20"/>
                <w:szCs w:val="20"/>
              </w:rPr>
            </w:pPr>
            <w:r>
              <w:rPr>
                <w:sz w:val="20"/>
                <w:szCs w:val="20"/>
              </w:rPr>
              <w:t>766</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349</w:t>
            </w:r>
          </w:p>
          <w:p w:rsidR="00EA1875" w:rsidRPr="00347A18" w:rsidRDefault="00EA1875" w:rsidP="00562213">
            <w:pPr>
              <w:jc w:val="center"/>
              <w:rPr>
                <w:sz w:val="20"/>
                <w:szCs w:val="20"/>
              </w:rPr>
            </w:pPr>
            <w:r>
              <w:rPr>
                <w:sz w:val="20"/>
                <w:szCs w:val="20"/>
              </w:rPr>
              <w:t>955</w:t>
            </w:r>
          </w:p>
          <w:p w:rsidR="00EA1875" w:rsidRPr="00347A18" w:rsidRDefault="00EA1875" w:rsidP="00562213">
            <w:pPr>
              <w:jc w:val="center"/>
              <w:rPr>
                <w:sz w:val="20"/>
                <w:szCs w:val="20"/>
              </w:rPr>
            </w:pPr>
            <w:r>
              <w:rPr>
                <w:sz w:val="20"/>
                <w:szCs w:val="20"/>
              </w:rPr>
              <w:t>733</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395</w:t>
            </w:r>
          </w:p>
          <w:p w:rsidR="00EA1875" w:rsidRPr="00347A18" w:rsidRDefault="00EA1875" w:rsidP="00562213">
            <w:pPr>
              <w:jc w:val="center"/>
              <w:rPr>
                <w:sz w:val="20"/>
                <w:szCs w:val="20"/>
              </w:rPr>
            </w:pPr>
            <w:r w:rsidRPr="00347A18">
              <w:rPr>
                <w:sz w:val="20"/>
                <w:szCs w:val="20"/>
              </w:rPr>
              <w:t>520</w:t>
            </w:r>
          </w:p>
          <w:p w:rsidR="00EA1875" w:rsidRPr="00347A18" w:rsidRDefault="00EA1875" w:rsidP="00562213">
            <w:pPr>
              <w:jc w:val="center"/>
              <w:rPr>
                <w:sz w:val="20"/>
                <w:szCs w:val="20"/>
              </w:rPr>
            </w:pPr>
            <w:r w:rsidRPr="00347A18">
              <w:rPr>
                <w:sz w:val="20"/>
                <w:szCs w:val="20"/>
              </w:rPr>
              <w:t>432</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410</w:t>
            </w:r>
          </w:p>
          <w:p w:rsidR="00EA1875" w:rsidRPr="00347A18" w:rsidRDefault="00EA1875" w:rsidP="00562213">
            <w:pPr>
              <w:jc w:val="center"/>
              <w:rPr>
                <w:sz w:val="20"/>
                <w:szCs w:val="20"/>
              </w:rPr>
            </w:pPr>
            <w:r w:rsidRPr="00347A18">
              <w:rPr>
                <w:sz w:val="20"/>
                <w:szCs w:val="20"/>
              </w:rPr>
              <w:t>575</w:t>
            </w:r>
          </w:p>
          <w:p w:rsidR="00EA1875" w:rsidRPr="00347A18" w:rsidRDefault="00EA1875" w:rsidP="00562213">
            <w:pPr>
              <w:jc w:val="center"/>
              <w:rPr>
                <w:sz w:val="20"/>
                <w:szCs w:val="20"/>
              </w:rPr>
            </w:pPr>
            <w:r w:rsidRPr="00347A18">
              <w:rPr>
                <w:sz w:val="20"/>
                <w:szCs w:val="20"/>
              </w:rPr>
              <w:t>505</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Cl</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26</w:t>
            </w:r>
          </w:p>
          <w:p w:rsidR="00EA1875" w:rsidRPr="00347A18" w:rsidRDefault="00EA1875" w:rsidP="00562213">
            <w:pPr>
              <w:jc w:val="center"/>
              <w:rPr>
                <w:sz w:val="20"/>
                <w:szCs w:val="20"/>
              </w:rPr>
            </w:pPr>
            <w:r w:rsidRPr="00347A18">
              <w:rPr>
                <w:sz w:val="20"/>
                <w:szCs w:val="20"/>
              </w:rPr>
              <w:t>56</w:t>
            </w:r>
          </w:p>
          <w:p w:rsidR="00EA1875" w:rsidRPr="00347A18" w:rsidRDefault="00EA1875" w:rsidP="00562213">
            <w:pPr>
              <w:jc w:val="center"/>
              <w:rPr>
                <w:sz w:val="20"/>
                <w:szCs w:val="20"/>
              </w:rPr>
            </w:pPr>
            <w:r w:rsidRPr="00347A18">
              <w:rPr>
                <w:sz w:val="20"/>
                <w:szCs w:val="20"/>
              </w:rPr>
              <w:t>38</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32</w:t>
            </w:r>
          </w:p>
          <w:p w:rsidR="00EA1875" w:rsidRPr="00347A18" w:rsidRDefault="00EA1875" w:rsidP="00562213">
            <w:pPr>
              <w:jc w:val="center"/>
              <w:rPr>
                <w:sz w:val="20"/>
                <w:szCs w:val="20"/>
              </w:rPr>
            </w:pPr>
            <w:r w:rsidRPr="00347A18">
              <w:rPr>
                <w:sz w:val="20"/>
                <w:szCs w:val="20"/>
              </w:rPr>
              <w:t>67</w:t>
            </w:r>
          </w:p>
          <w:p w:rsidR="00EA1875" w:rsidRPr="00347A18" w:rsidRDefault="00EA1875" w:rsidP="00562213">
            <w:pPr>
              <w:jc w:val="center"/>
              <w:rPr>
                <w:sz w:val="20"/>
                <w:szCs w:val="20"/>
              </w:rPr>
            </w:pPr>
            <w:r w:rsidRPr="00347A18">
              <w:rPr>
                <w:sz w:val="20"/>
                <w:szCs w:val="20"/>
              </w:rPr>
              <w:t>43</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30</w:t>
            </w:r>
          </w:p>
          <w:p w:rsidR="00EA1875" w:rsidRPr="00347A18" w:rsidRDefault="00EA1875" w:rsidP="00562213">
            <w:pPr>
              <w:jc w:val="center"/>
              <w:rPr>
                <w:sz w:val="20"/>
                <w:szCs w:val="20"/>
              </w:rPr>
            </w:pPr>
            <w:r w:rsidRPr="00347A18">
              <w:rPr>
                <w:sz w:val="20"/>
                <w:szCs w:val="20"/>
              </w:rPr>
              <w:t>61</w:t>
            </w:r>
          </w:p>
          <w:p w:rsidR="00EA1875" w:rsidRPr="00347A18" w:rsidRDefault="00EA1875" w:rsidP="00562213">
            <w:pPr>
              <w:jc w:val="center"/>
              <w:rPr>
                <w:sz w:val="20"/>
                <w:szCs w:val="20"/>
              </w:rPr>
            </w:pPr>
            <w:r w:rsidRPr="00347A18">
              <w:rPr>
                <w:sz w:val="20"/>
                <w:szCs w:val="20"/>
              </w:rPr>
              <w:t>40.5</w:t>
            </w:r>
          </w:p>
        </w:tc>
        <w:tc>
          <w:tcPr>
            <w:tcW w:w="541" w:type="pct"/>
            <w:tcBorders>
              <w:left w:val="nil"/>
              <w:right w:val="nil"/>
            </w:tcBorders>
            <w:vAlign w:val="center"/>
          </w:tcPr>
          <w:p w:rsidR="00EA1875" w:rsidRPr="00347A18" w:rsidRDefault="00EA1875" w:rsidP="00562213">
            <w:pPr>
              <w:jc w:val="center"/>
              <w:rPr>
                <w:sz w:val="20"/>
                <w:szCs w:val="20"/>
              </w:rPr>
            </w:pPr>
            <w:r>
              <w:rPr>
                <w:sz w:val="20"/>
                <w:szCs w:val="20"/>
              </w:rPr>
              <w:t>77</w:t>
            </w:r>
          </w:p>
          <w:p w:rsidR="00EA1875" w:rsidRPr="00347A18" w:rsidRDefault="00EA1875" w:rsidP="00562213">
            <w:pPr>
              <w:jc w:val="center"/>
              <w:rPr>
                <w:sz w:val="20"/>
                <w:szCs w:val="20"/>
              </w:rPr>
            </w:pPr>
            <w:r>
              <w:rPr>
                <w:sz w:val="20"/>
                <w:szCs w:val="20"/>
              </w:rPr>
              <w:t>158</w:t>
            </w:r>
          </w:p>
          <w:p w:rsidR="00EA1875" w:rsidRPr="00347A18" w:rsidRDefault="00EA1875" w:rsidP="00562213">
            <w:pPr>
              <w:jc w:val="center"/>
              <w:rPr>
                <w:sz w:val="20"/>
                <w:szCs w:val="20"/>
              </w:rPr>
            </w:pPr>
            <w:r>
              <w:rPr>
                <w:sz w:val="20"/>
                <w:szCs w:val="20"/>
              </w:rPr>
              <w:t>102</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68</w:t>
            </w:r>
          </w:p>
          <w:p w:rsidR="00EA1875" w:rsidRPr="00347A18" w:rsidRDefault="00EA1875" w:rsidP="00562213">
            <w:pPr>
              <w:jc w:val="center"/>
              <w:rPr>
                <w:sz w:val="20"/>
                <w:szCs w:val="20"/>
              </w:rPr>
            </w:pPr>
            <w:r>
              <w:rPr>
                <w:sz w:val="20"/>
                <w:szCs w:val="20"/>
              </w:rPr>
              <w:t>160</w:t>
            </w:r>
          </w:p>
          <w:p w:rsidR="00EA1875" w:rsidRPr="00347A18" w:rsidRDefault="00EA1875" w:rsidP="00562213">
            <w:pPr>
              <w:jc w:val="center"/>
              <w:rPr>
                <w:sz w:val="20"/>
                <w:szCs w:val="20"/>
              </w:rPr>
            </w:pPr>
            <w:r>
              <w:rPr>
                <w:sz w:val="20"/>
                <w:szCs w:val="20"/>
              </w:rPr>
              <w:t>123</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42</w:t>
            </w:r>
          </w:p>
          <w:p w:rsidR="00EA1875" w:rsidRPr="00347A18" w:rsidRDefault="00EA1875" w:rsidP="00562213">
            <w:pPr>
              <w:jc w:val="center"/>
              <w:rPr>
                <w:sz w:val="20"/>
                <w:szCs w:val="20"/>
              </w:rPr>
            </w:pPr>
            <w:r>
              <w:rPr>
                <w:sz w:val="20"/>
                <w:szCs w:val="20"/>
              </w:rPr>
              <w:t>80</w:t>
            </w:r>
          </w:p>
          <w:p w:rsidR="00EA1875" w:rsidRPr="00347A18" w:rsidRDefault="00EA1875" w:rsidP="00562213">
            <w:pPr>
              <w:jc w:val="center"/>
              <w:rPr>
                <w:sz w:val="20"/>
                <w:szCs w:val="20"/>
              </w:rPr>
            </w:pPr>
            <w:r>
              <w:rPr>
                <w:sz w:val="20"/>
                <w:szCs w:val="20"/>
              </w:rPr>
              <w:t>74</w:t>
            </w:r>
          </w:p>
        </w:tc>
        <w:tc>
          <w:tcPr>
            <w:tcW w:w="596" w:type="pct"/>
            <w:tcBorders>
              <w:left w:val="nil"/>
            </w:tcBorders>
            <w:vAlign w:val="center"/>
          </w:tcPr>
          <w:p w:rsidR="00EA1875" w:rsidRPr="00347A18" w:rsidRDefault="00EA1875" w:rsidP="00562213">
            <w:pPr>
              <w:jc w:val="center"/>
              <w:rPr>
                <w:sz w:val="20"/>
                <w:szCs w:val="20"/>
              </w:rPr>
            </w:pPr>
            <w:r>
              <w:rPr>
                <w:sz w:val="20"/>
                <w:szCs w:val="20"/>
              </w:rPr>
              <w:t>90</w:t>
            </w:r>
          </w:p>
          <w:p w:rsidR="00EA1875" w:rsidRPr="00347A18" w:rsidRDefault="00EA1875" w:rsidP="00562213">
            <w:pPr>
              <w:jc w:val="center"/>
              <w:rPr>
                <w:sz w:val="20"/>
                <w:szCs w:val="20"/>
              </w:rPr>
            </w:pPr>
            <w:r w:rsidRPr="00347A18">
              <w:rPr>
                <w:sz w:val="20"/>
                <w:szCs w:val="20"/>
              </w:rPr>
              <w:t>213</w:t>
            </w:r>
          </w:p>
          <w:p w:rsidR="00EA1875" w:rsidRPr="00347A18" w:rsidRDefault="00EA1875" w:rsidP="00562213">
            <w:pPr>
              <w:jc w:val="center"/>
              <w:rPr>
                <w:sz w:val="20"/>
                <w:szCs w:val="20"/>
              </w:rPr>
            </w:pPr>
            <w:r w:rsidRPr="00347A18">
              <w:rPr>
                <w:sz w:val="20"/>
                <w:szCs w:val="20"/>
              </w:rPr>
              <w:t>185</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Ca</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47</w:t>
            </w:r>
          </w:p>
          <w:p w:rsidR="00EA1875" w:rsidRPr="00347A18" w:rsidRDefault="00EA1875" w:rsidP="00562213">
            <w:pPr>
              <w:jc w:val="center"/>
              <w:rPr>
                <w:sz w:val="20"/>
                <w:szCs w:val="20"/>
              </w:rPr>
            </w:pPr>
            <w:r w:rsidRPr="00347A18">
              <w:rPr>
                <w:sz w:val="20"/>
                <w:szCs w:val="20"/>
              </w:rPr>
              <w:t>72</w:t>
            </w:r>
          </w:p>
          <w:p w:rsidR="00EA1875" w:rsidRPr="00347A18" w:rsidRDefault="00EA1875" w:rsidP="00562213">
            <w:pPr>
              <w:jc w:val="center"/>
              <w:rPr>
                <w:sz w:val="20"/>
                <w:szCs w:val="20"/>
              </w:rPr>
            </w:pPr>
            <w:r w:rsidRPr="00347A18">
              <w:rPr>
                <w:sz w:val="20"/>
                <w:szCs w:val="20"/>
              </w:rPr>
              <w:t>54</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60</w:t>
            </w:r>
          </w:p>
          <w:p w:rsidR="00EA1875" w:rsidRPr="00347A18" w:rsidRDefault="00EA1875" w:rsidP="00562213">
            <w:pPr>
              <w:jc w:val="center"/>
              <w:rPr>
                <w:sz w:val="20"/>
                <w:szCs w:val="20"/>
              </w:rPr>
            </w:pPr>
            <w:r w:rsidRPr="00347A18">
              <w:rPr>
                <w:sz w:val="20"/>
                <w:szCs w:val="20"/>
              </w:rPr>
              <w:t>74</w:t>
            </w:r>
          </w:p>
          <w:p w:rsidR="00EA1875" w:rsidRPr="00347A18" w:rsidRDefault="00EA1875" w:rsidP="00562213">
            <w:pPr>
              <w:jc w:val="center"/>
              <w:rPr>
                <w:sz w:val="20"/>
                <w:szCs w:val="20"/>
              </w:rPr>
            </w:pPr>
            <w:r w:rsidRPr="00347A18">
              <w:rPr>
                <w:sz w:val="20"/>
                <w:szCs w:val="20"/>
              </w:rPr>
              <w:t>64</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67</w:t>
            </w:r>
          </w:p>
          <w:p w:rsidR="00EA1875" w:rsidRPr="00347A18" w:rsidRDefault="00EA1875" w:rsidP="00562213">
            <w:pPr>
              <w:jc w:val="center"/>
              <w:rPr>
                <w:sz w:val="20"/>
                <w:szCs w:val="20"/>
              </w:rPr>
            </w:pPr>
            <w:r w:rsidRPr="00347A18">
              <w:rPr>
                <w:sz w:val="20"/>
                <w:szCs w:val="20"/>
              </w:rPr>
              <w:t>103</w:t>
            </w:r>
          </w:p>
          <w:p w:rsidR="00EA1875" w:rsidRPr="00347A18" w:rsidRDefault="00EA1875" w:rsidP="00562213">
            <w:pPr>
              <w:jc w:val="center"/>
              <w:rPr>
                <w:sz w:val="20"/>
                <w:szCs w:val="20"/>
              </w:rPr>
            </w:pPr>
            <w:r w:rsidRPr="00347A18">
              <w:rPr>
                <w:sz w:val="20"/>
                <w:szCs w:val="20"/>
              </w:rPr>
              <w:t>83</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67</w:t>
            </w:r>
          </w:p>
          <w:p w:rsidR="00EA1875" w:rsidRPr="00347A18" w:rsidRDefault="00EA1875" w:rsidP="00562213">
            <w:pPr>
              <w:jc w:val="center"/>
              <w:rPr>
                <w:sz w:val="20"/>
                <w:szCs w:val="20"/>
              </w:rPr>
            </w:pPr>
            <w:r w:rsidRPr="00347A18">
              <w:rPr>
                <w:sz w:val="20"/>
                <w:szCs w:val="20"/>
              </w:rPr>
              <w:t>111</w:t>
            </w:r>
          </w:p>
          <w:p w:rsidR="00EA1875" w:rsidRPr="00347A18" w:rsidRDefault="00EA1875" w:rsidP="00562213">
            <w:pPr>
              <w:jc w:val="center"/>
              <w:rPr>
                <w:sz w:val="20"/>
                <w:szCs w:val="20"/>
              </w:rPr>
            </w:pPr>
            <w:r w:rsidRPr="00347A18">
              <w:rPr>
                <w:sz w:val="20"/>
                <w:szCs w:val="20"/>
              </w:rPr>
              <w:t>77</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72</w:t>
            </w:r>
          </w:p>
          <w:p w:rsidR="00EA1875" w:rsidRPr="00347A18" w:rsidRDefault="00EA1875" w:rsidP="00562213">
            <w:pPr>
              <w:jc w:val="center"/>
              <w:rPr>
                <w:sz w:val="20"/>
                <w:szCs w:val="20"/>
              </w:rPr>
            </w:pPr>
            <w:r w:rsidRPr="00347A18">
              <w:rPr>
                <w:sz w:val="20"/>
                <w:szCs w:val="20"/>
              </w:rPr>
              <w:t>105</w:t>
            </w:r>
          </w:p>
          <w:p w:rsidR="00EA1875" w:rsidRPr="00347A18" w:rsidRDefault="00EA1875" w:rsidP="00562213">
            <w:pPr>
              <w:jc w:val="center"/>
              <w:rPr>
                <w:sz w:val="20"/>
                <w:szCs w:val="20"/>
              </w:rPr>
            </w:pPr>
            <w:r w:rsidRPr="00347A18">
              <w:rPr>
                <w:sz w:val="20"/>
                <w:szCs w:val="20"/>
              </w:rPr>
              <w:t>93</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69</w:t>
            </w:r>
          </w:p>
          <w:p w:rsidR="00EA1875" w:rsidRPr="00347A18" w:rsidRDefault="00EA1875" w:rsidP="00562213">
            <w:pPr>
              <w:jc w:val="center"/>
              <w:rPr>
                <w:sz w:val="20"/>
                <w:szCs w:val="20"/>
              </w:rPr>
            </w:pPr>
            <w:r w:rsidRPr="00347A18">
              <w:rPr>
                <w:sz w:val="20"/>
                <w:szCs w:val="20"/>
              </w:rPr>
              <w:t>109</w:t>
            </w:r>
          </w:p>
          <w:p w:rsidR="00EA1875" w:rsidRPr="00347A18" w:rsidRDefault="00EA1875" w:rsidP="00562213">
            <w:pPr>
              <w:jc w:val="center"/>
              <w:rPr>
                <w:sz w:val="20"/>
                <w:szCs w:val="20"/>
              </w:rPr>
            </w:pPr>
            <w:r w:rsidRPr="00347A18">
              <w:rPr>
                <w:sz w:val="20"/>
                <w:szCs w:val="20"/>
              </w:rPr>
              <w:t>82</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87</w:t>
            </w:r>
          </w:p>
          <w:p w:rsidR="00EA1875" w:rsidRPr="00347A18" w:rsidRDefault="00EA1875" w:rsidP="00562213">
            <w:pPr>
              <w:jc w:val="center"/>
              <w:rPr>
                <w:sz w:val="20"/>
                <w:szCs w:val="20"/>
              </w:rPr>
            </w:pPr>
            <w:r w:rsidRPr="00347A18">
              <w:rPr>
                <w:sz w:val="20"/>
                <w:szCs w:val="20"/>
              </w:rPr>
              <w:t>116</w:t>
            </w:r>
          </w:p>
          <w:p w:rsidR="00EA1875" w:rsidRPr="00347A18" w:rsidRDefault="00EA1875" w:rsidP="00562213">
            <w:pPr>
              <w:jc w:val="center"/>
              <w:rPr>
                <w:sz w:val="20"/>
                <w:szCs w:val="20"/>
              </w:rPr>
            </w:pPr>
            <w:r w:rsidRPr="00347A18">
              <w:rPr>
                <w:sz w:val="20"/>
                <w:szCs w:val="20"/>
              </w:rPr>
              <w:t>94</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Mg</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19</w:t>
            </w:r>
          </w:p>
          <w:p w:rsidR="00EA1875" w:rsidRPr="00347A18" w:rsidRDefault="00EA1875" w:rsidP="00562213">
            <w:pPr>
              <w:jc w:val="center"/>
              <w:rPr>
                <w:sz w:val="20"/>
                <w:szCs w:val="20"/>
              </w:rPr>
            </w:pPr>
            <w:r w:rsidRPr="00347A18">
              <w:rPr>
                <w:sz w:val="20"/>
                <w:szCs w:val="20"/>
              </w:rPr>
              <w:t>54</w:t>
            </w:r>
          </w:p>
          <w:p w:rsidR="00EA1875" w:rsidRPr="00347A18" w:rsidRDefault="00EA1875" w:rsidP="00562213">
            <w:pPr>
              <w:jc w:val="center"/>
              <w:rPr>
                <w:sz w:val="20"/>
                <w:szCs w:val="20"/>
              </w:rPr>
            </w:pPr>
            <w:r w:rsidRPr="00347A18">
              <w:rPr>
                <w:sz w:val="20"/>
                <w:szCs w:val="20"/>
              </w:rPr>
              <w:t>27</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20</w:t>
            </w:r>
          </w:p>
          <w:p w:rsidR="00EA1875" w:rsidRPr="00347A18" w:rsidRDefault="00EA1875" w:rsidP="00562213">
            <w:pPr>
              <w:jc w:val="center"/>
              <w:rPr>
                <w:sz w:val="20"/>
                <w:szCs w:val="20"/>
              </w:rPr>
            </w:pPr>
            <w:r w:rsidRPr="00347A18">
              <w:rPr>
                <w:sz w:val="20"/>
                <w:szCs w:val="20"/>
              </w:rPr>
              <w:t>62</w:t>
            </w:r>
          </w:p>
          <w:p w:rsidR="00EA1875" w:rsidRPr="00347A18" w:rsidRDefault="00EA1875" w:rsidP="00562213">
            <w:pPr>
              <w:jc w:val="center"/>
              <w:rPr>
                <w:sz w:val="20"/>
                <w:szCs w:val="20"/>
              </w:rPr>
            </w:pPr>
            <w:r w:rsidRPr="00347A18">
              <w:rPr>
                <w:sz w:val="20"/>
                <w:szCs w:val="20"/>
              </w:rPr>
              <w:t>29</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20</w:t>
            </w:r>
          </w:p>
          <w:p w:rsidR="00EA1875" w:rsidRPr="00347A18" w:rsidRDefault="00EA1875" w:rsidP="00562213">
            <w:pPr>
              <w:jc w:val="center"/>
              <w:rPr>
                <w:sz w:val="20"/>
                <w:szCs w:val="20"/>
              </w:rPr>
            </w:pPr>
            <w:r w:rsidRPr="00347A18">
              <w:rPr>
                <w:sz w:val="20"/>
                <w:szCs w:val="20"/>
              </w:rPr>
              <w:t>50</w:t>
            </w:r>
          </w:p>
          <w:p w:rsidR="00EA1875" w:rsidRPr="00347A18" w:rsidRDefault="00EA1875" w:rsidP="00562213">
            <w:pPr>
              <w:jc w:val="center"/>
              <w:rPr>
                <w:sz w:val="20"/>
                <w:szCs w:val="20"/>
              </w:rPr>
            </w:pPr>
            <w:r w:rsidRPr="00347A18">
              <w:rPr>
                <w:sz w:val="20"/>
                <w:szCs w:val="20"/>
              </w:rPr>
              <w:t>26</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23</w:t>
            </w:r>
          </w:p>
          <w:p w:rsidR="00EA1875" w:rsidRPr="00347A18" w:rsidRDefault="00EA1875" w:rsidP="00562213">
            <w:pPr>
              <w:jc w:val="center"/>
              <w:rPr>
                <w:sz w:val="20"/>
                <w:szCs w:val="20"/>
              </w:rPr>
            </w:pPr>
            <w:r w:rsidRPr="00347A18">
              <w:rPr>
                <w:sz w:val="20"/>
                <w:szCs w:val="20"/>
              </w:rPr>
              <w:t>73</w:t>
            </w:r>
          </w:p>
          <w:p w:rsidR="00EA1875" w:rsidRPr="00347A18" w:rsidRDefault="00EA1875" w:rsidP="00562213">
            <w:pPr>
              <w:jc w:val="center"/>
              <w:rPr>
                <w:sz w:val="20"/>
                <w:szCs w:val="20"/>
              </w:rPr>
            </w:pPr>
            <w:r w:rsidRPr="00347A18">
              <w:rPr>
                <w:sz w:val="20"/>
                <w:szCs w:val="20"/>
              </w:rPr>
              <w:t>35</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33</w:t>
            </w:r>
          </w:p>
          <w:p w:rsidR="00EA1875" w:rsidRPr="00347A18" w:rsidRDefault="00EA1875" w:rsidP="00562213">
            <w:pPr>
              <w:jc w:val="center"/>
              <w:rPr>
                <w:sz w:val="20"/>
                <w:szCs w:val="20"/>
              </w:rPr>
            </w:pPr>
            <w:r w:rsidRPr="00347A18">
              <w:rPr>
                <w:sz w:val="20"/>
                <w:szCs w:val="20"/>
              </w:rPr>
              <w:t>70</w:t>
            </w:r>
          </w:p>
          <w:p w:rsidR="00EA1875" w:rsidRPr="00347A18" w:rsidRDefault="00EA1875" w:rsidP="00562213">
            <w:pPr>
              <w:jc w:val="center"/>
              <w:rPr>
                <w:sz w:val="20"/>
                <w:szCs w:val="20"/>
              </w:rPr>
            </w:pPr>
            <w:r w:rsidRPr="00347A18">
              <w:rPr>
                <w:sz w:val="20"/>
                <w:szCs w:val="20"/>
              </w:rPr>
              <w:t>43</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52</w:t>
            </w:r>
          </w:p>
          <w:p w:rsidR="00EA1875" w:rsidRPr="00347A18" w:rsidRDefault="00EA1875" w:rsidP="00562213">
            <w:pPr>
              <w:jc w:val="center"/>
              <w:rPr>
                <w:sz w:val="20"/>
                <w:szCs w:val="20"/>
              </w:rPr>
            </w:pPr>
            <w:r w:rsidRPr="00347A18">
              <w:rPr>
                <w:sz w:val="20"/>
                <w:szCs w:val="20"/>
              </w:rPr>
              <w:t>64</w:t>
            </w:r>
          </w:p>
          <w:p w:rsidR="00EA1875" w:rsidRPr="00347A18" w:rsidRDefault="00EA1875" w:rsidP="00562213">
            <w:pPr>
              <w:jc w:val="center"/>
              <w:rPr>
                <w:sz w:val="20"/>
                <w:szCs w:val="20"/>
              </w:rPr>
            </w:pPr>
            <w:r w:rsidRPr="00347A18">
              <w:rPr>
                <w:sz w:val="20"/>
                <w:szCs w:val="20"/>
              </w:rPr>
              <w:t>58</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36</w:t>
            </w:r>
          </w:p>
          <w:p w:rsidR="00EA1875" w:rsidRPr="00347A18" w:rsidRDefault="00EA1875" w:rsidP="00562213">
            <w:pPr>
              <w:jc w:val="center"/>
              <w:rPr>
                <w:sz w:val="20"/>
                <w:szCs w:val="20"/>
              </w:rPr>
            </w:pPr>
            <w:r w:rsidRPr="00347A18">
              <w:rPr>
                <w:sz w:val="20"/>
                <w:szCs w:val="20"/>
              </w:rPr>
              <w:t>68</w:t>
            </w:r>
          </w:p>
          <w:p w:rsidR="00EA1875" w:rsidRPr="00347A18" w:rsidRDefault="00EA1875" w:rsidP="00562213">
            <w:pPr>
              <w:jc w:val="center"/>
              <w:rPr>
                <w:sz w:val="20"/>
                <w:szCs w:val="20"/>
              </w:rPr>
            </w:pPr>
            <w:r w:rsidRPr="00347A18">
              <w:rPr>
                <w:sz w:val="20"/>
                <w:szCs w:val="20"/>
              </w:rPr>
              <w:t>51</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SO4</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51</w:t>
            </w:r>
          </w:p>
          <w:p w:rsidR="00EA1875" w:rsidRPr="00347A18" w:rsidRDefault="00EA1875" w:rsidP="00562213">
            <w:pPr>
              <w:jc w:val="center"/>
              <w:rPr>
                <w:sz w:val="20"/>
                <w:szCs w:val="20"/>
              </w:rPr>
            </w:pPr>
            <w:r w:rsidRPr="00347A18">
              <w:rPr>
                <w:sz w:val="20"/>
                <w:szCs w:val="20"/>
              </w:rPr>
              <w:t>102</w:t>
            </w:r>
          </w:p>
          <w:p w:rsidR="00EA1875" w:rsidRPr="00347A18" w:rsidRDefault="00EA1875" w:rsidP="00562213">
            <w:pPr>
              <w:jc w:val="center"/>
              <w:rPr>
                <w:sz w:val="20"/>
                <w:szCs w:val="20"/>
              </w:rPr>
            </w:pPr>
            <w:r w:rsidRPr="00347A18">
              <w:rPr>
                <w:sz w:val="20"/>
                <w:szCs w:val="20"/>
              </w:rPr>
              <w:t>69</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70</w:t>
            </w:r>
          </w:p>
          <w:p w:rsidR="00EA1875" w:rsidRPr="00347A18" w:rsidRDefault="00EA1875" w:rsidP="00562213">
            <w:pPr>
              <w:jc w:val="center"/>
              <w:rPr>
                <w:sz w:val="20"/>
                <w:szCs w:val="20"/>
              </w:rPr>
            </w:pPr>
            <w:r w:rsidRPr="00347A18">
              <w:rPr>
                <w:sz w:val="20"/>
                <w:szCs w:val="20"/>
              </w:rPr>
              <w:t>202</w:t>
            </w:r>
          </w:p>
          <w:p w:rsidR="00EA1875" w:rsidRPr="00347A18" w:rsidRDefault="00EA1875" w:rsidP="00562213">
            <w:pPr>
              <w:jc w:val="center"/>
              <w:rPr>
                <w:sz w:val="20"/>
                <w:szCs w:val="20"/>
              </w:rPr>
            </w:pPr>
            <w:r w:rsidRPr="00347A18">
              <w:rPr>
                <w:sz w:val="20"/>
                <w:szCs w:val="20"/>
              </w:rPr>
              <w:t>94</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105</w:t>
            </w:r>
          </w:p>
          <w:p w:rsidR="00EA1875" w:rsidRPr="00347A18" w:rsidRDefault="00EA1875" w:rsidP="00562213">
            <w:pPr>
              <w:jc w:val="center"/>
              <w:rPr>
                <w:sz w:val="20"/>
                <w:szCs w:val="20"/>
              </w:rPr>
            </w:pPr>
            <w:r w:rsidRPr="00347A18">
              <w:rPr>
                <w:sz w:val="20"/>
                <w:szCs w:val="20"/>
              </w:rPr>
              <w:t>249</w:t>
            </w:r>
          </w:p>
          <w:p w:rsidR="00EA1875" w:rsidRPr="00347A18" w:rsidRDefault="00EA1875" w:rsidP="00562213">
            <w:pPr>
              <w:jc w:val="center"/>
              <w:rPr>
                <w:sz w:val="20"/>
                <w:szCs w:val="20"/>
              </w:rPr>
            </w:pPr>
            <w:r w:rsidRPr="00347A18">
              <w:rPr>
                <w:sz w:val="20"/>
                <w:szCs w:val="20"/>
              </w:rPr>
              <w:t>168</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144</w:t>
            </w:r>
          </w:p>
          <w:p w:rsidR="00EA1875" w:rsidRPr="00347A18" w:rsidRDefault="00EA1875" w:rsidP="00562213">
            <w:pPr>
              <w:jc w:val="center"/>
              <w:rPr>
                <w:sz w:val="20"/>
                <w:szCs w:val="20"/>
              </w:rPr>
            </w:pPr>
            <w:r w:rsidRPr="00347A18">
              <w:rPr>
                <w:sz w:val="20"/>
                <w:szCs w:val="20"/>
              </w:rPr>
              <w:t>275</w:t>
            </w:r>
          </w:p>
          <w:p w:rsidR="00EA1875" w:rsidRPr="00347A18" w:rsidRDefault="00EA1875" w:rsidP="00562213">
            <w:pPr>
              <w:jc w:val="center"/>
              <w:rPr>
                <w:sz w:val="20"/>
                <w:szCs w:val="20"/>
              </w:rPr>
            </w:pPr>
            <w:r w:rsidRPr="00347A18">
              <w:rPr>
                <w:sz w:val="20"/>
                <w:szCs w:val="20"/>
              </w:rPr>
              <w:t>174</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120</w:t>
            </w:r>
          </w:p>
          <w:p w:rsidR="00EA1875" w:rsidRPr="00347A18" w:rsidRDefault="00EA1875" w:rsidP="00562213">
            <w:pPr>
              <w:jc w:val="center"/>
              <w:rPr>
                <w:sz w:val="20"/>
                <w:szCs w:val="20"/>
              </w:rPr>
            </w:pPr>
            <w:r w:rsidRPr="00347A18">
              <w:rPr>
                <w:sz w:val="20"/>
                <w:szCs w:val="20"/>
              </w:rPr>
              <w:t>222</w:t>
            </w:r>
          </w:p>
          <w:p w:rsidR="00EA1875" w:rsidRPr="00347A18" w:rsidRDefault="00EA1875" w:rsidP="00562213">
            <w:pPr>
              <w:jc w:val="center"/>
              <w:rPr>
                <w:sz w:val="20"/>
                <w:szCs w:val="20"/>
              </w:rPr>
            </w:pPr>
            <w:r w:rsidRPr="00347A18">
              <w:rPr>
                <w:sz w:val="20"/>
                <w:szCs w:val="20"/>
              </w:rPr>
              <w:t>182</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168</w:t>
            </w:r>
          </w:p>
          <w:p w:rsidR="00EA1875" w:rsidRPr="00347A18" w:rsidRDefault="00EA1875" w:rsidP="00562213">
            <w:pPr>
              <w:jc w:val="center"/>
              <w:rPr>
                <w:sz w:val="20"/>
                <w:szCs w:val="20"/>
              </w:rPr>
            </w:pPr>
            <w:r w:rsidRPr="00347A18">
              <w:rPr>
                <w:sz w:val="20"/>
                <w:szCs w:val="20"/>
              </w:rPr>
              <w:t>253</w:t>
            </w:r>
          </w:p>
          <w:p w:rsidR="00EA1875" w:rsidRPr="00347A18" w:rsidRDefault="00EA1875" w:rsidP="00562213">
            <w:pPr>
              <w:jc w:val="center"/>
              <w:rPr>
                <w:sz w:val="20"/>
                <w:szCs w:val="20"/>
              </w:rPr>
            </w:pPr>
            <w:r w:rsidRPr="00347A18">
              <w:rPr>
                <w:sz w:val="20"/>
                <w:szCs w:val="20"/>
              </w:rPr>
              <w:t>193</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185</w:t>
            </w:r>
          </w:p>
          <w:p w:rsidR="00EA1875" w:rsidRPr="00347A18" w:rsidRDefault="00EA1875" w:rsidP="00562213">
            <w:pPr>
              <w:jc w:val="center"/>
              <w:rPr>
                <w:sz w:val="20"/>
                <w:szCs w:val="20"/>
              </w:rPr>
            </w:pPr>
            <w:r w:rsidRPr="00347A18">
              <w:rPr>
                <w:sz w:val="20"/>
                <w:szCs w:val="20"/>
              </w:rPr>
              <w:t>220</w:t>
            </w:r>
          </w:p>
          <w:p w:rsidR="00EA1875" w:rsidRPr="00347A18" w:rsidRDefault="00EA1875" w:rsidP="00562213">
            <w:pPr>
              <w:jc w:val="center"/>
              <w:rPr>
                <w:sz w:val="20"/>
                <w:szCs w:val="20"/>
              </w:rPr>
            </w:pPr>
            <w:r w:rsidRPr="00347A18">
              <w:rPr>
                <w:sz w:val="20"/>
                <w:szCs w:val="20"/>
              </w:rPr>
              <w:t>190</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Fe</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0.093</w:t>
            </w:r>
          </w:p>
          <w:p w:rsidR="00EA1875" w:rsidRPr="00347A18" w:rsidRDefault="00EA1875" w:rsidP="00562213">
            <w:pPr>
              <w:jc w:val="center"/>
              <w:rPr>
                <w:sz w:val="20"/>
                <w:szCs w:val="20"/>
              </w:rPr>
            </w:pPr>
            <w:r w:rsidRPr="00347A18">
              <w:rPr>
                <w:sz w:val="20"/>
                <w:szCs w:val="20"/>
              </w:rPr>
              <w:t>0.49</w:t>
            </w:r>
          </w:p>
          <w:p w:rsidR="00EA1875" w:rsidRPr="00347A18" w:rsidRDefault="00EA1875" w:rsidP="00562213">
            <w:pPr>
              <w:jc w:val="center"/>
              <w:rPr>
                <w:sz w:val="20"/>
                <w:szCs w:val="20"/>
              </w:rPr>
            </w:pPr>
            <w:r w:rsidRPr="00347A18">
              <w:rPr>
                <w:sz w:val="20"/>
                <w:szCs w:val="20"/>
              </w:rPr>
              <w:t>0.12</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0.13</w:t>
            </w:r>
          </w:p>
          <w:p w:rsidR="00EA1875" w:rsidRPr="00347A18" w:rsidRDefault="00EA1875" w:rsidP="00562213">
            <w:pPr>
              <w:jc w:val="center"/>
              <w:rPr>
                <w:sz w:val="20"/>
                <w:szCs w:val="20"/>
              </w:rPr>
            </w:pPr>
            <w:r w:rsidRPr="00347A18">
              <w:rPr>
                <w:sz w:val="20"/>
                <w:szCs w:val="20"/>
              </w:rPr>
              <w:t>1.73</w:t>
            </w:r>
          </w:p>
          <w:p w:rsidR="00EA1875" w:rsidRPr="00347A18" w:rsidRDefault="00EA1875" w:rsidP="00562213">
            <w:pPr>
              <w:jc w:val="center"/>
              <w:rPr>
                <w:sz w:val="20"/>
                <w:szCs w:val="20"/>
              </w:rPr>
            </w:pPr>
            <w:r w:rsidRPr="00347A18">
              <w:rPr>
                <w:sz w:val="20"/>
                <w:szCs w:val="20"/>
              </w:rPr>
              <w:t>0.82</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0.07</w:t>
            </w:r>
          </w:p>
          <w:p w:rsidR="00EA1875" w:rsidRPr="00347A18" w:rsidRDefault="00EA1875" w:rsidP="00562213">
            <w:pPr>
              <w:jc w:val="center"/>
              <w:rPr>
                <w:sz w:val="20"/>
                <w:szCs w:val="20"/>
              </w:rPr>
            </w:pPr>
            <w:r w:rsidRPr="00347A18">
              <w:rPr>
                <w:sz w:val="20"/>
                <w:szCs w:val="20"/>
              </w:rPr>
              <w:t>1.10</w:t>
            </w:r>
          </w:p>
          <w:p w:rsidR="00EA1875" w:rsidRPr="00347A18" w:rsidRDefault="00EA1875" w:rsidP="00562213">
            <w:pPr>
              <w:jc w:val="center"/>
              <w:rPr>
                <w:sz w:val="20"/>
                <w:szCs w:val="20"/>
              </w:rPr>
            </w:pPr>
            <w:r w:rsidRPr="00347A18">
              <w:rPr>
                <w:sz w:val="20"/>
                <w:szCs w:val="20"/>
              </w:rPr>
              <w:t>0.81</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0.15</w:t>
            </w:r>
          </w:p>
          <w:p w:rsidR="00EA1875" w:rsidRPr="00347A18" w:rsidRDefault="00EA1875" w:rsidP="00562213">
            <w:pPr>
              <w:jc w:val="center"/>
              <w:rPr>
                <w:sz w:val="20"/>
                <w:szCs w:val="20"/>
              </w:rPr>
            </w:pPr>
            <w:r w:rsidRPr="00347A18">
              <w:rPr>
                <w:sz w:val="20"/>
                <w:szCs w:val="20"/>
              </w:rPr>
              <w:t>3.8</w:t>
            </w:r>
          </w:p>
          <w:p w:rsidR="00EA1875" w:rsidRPr="00347A18" w:rsidRDefault="00EA1875" w:rsidP="00562213">
            <w:pPr>
              <w:jc w:val="center"/>
              <w:rPr>
                <w:sz w:val="20"/>
                <w:szCs w:val="20"/>
              </w:rPr>
            </w:pPr>
            <w:r w:rsidRPr="00347A18">
              <w:rPr>
                <w:sz w:val="20"/>
                <w:szCs w:val="20"/>
              </w:rPr>
              <w:t>0.9</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0.11</w:t>
            </w:r>
          </w:p>
          <w:p w:rsidR="00EA1875" w:rsidRPr="00347A18" w:rsidRDefault="00EA1875" w:rsidP="00562213">
            <w:pPr>
              <w:jc w:val="center"/>
              <w:rPr>
                <w:sz w:val="20"/>
                <w:szCs w:val="20"/>
              </w:rPr>
            </w:pPr>
            <w:r w:rsidRPr="00347A18">
              <w:rPr>
                <w:sz w:val="20"/>
                <w:szCs w:val="20"/>
              </w:rPr>
              <w:t>2.9</w:t>
            </w:r>
          </w:p>
          <w:p w:rsidR="00EA1875" w:rsidRPr="00347A18" w:rsidRDefault="00EA1875" w:rsidP="00562213">
            <w:pPr>
              <w:jc w:val="center"/>
              <w:rPr>
                <w:sz w:val="20"/>
                <w:szCs w:val="20"/>
              </w:rPr>
            </w:pPr>
            <w:r w:rsidRPr="00347A18">
              <w:rPr>
                <w:sz w:val="20"/>
                <w:szCs w:val="20"/>
              </w:rPr>
              <w:t>1.33</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0.9</w:t>
            </w:r>
          </w:p>
          <w:p w:rsidR="00EA1875" w:rsidRPr="00347A18" w:rsidRDefault="00EA1875" w:rsidP="00562213">
            <w:pPr>
              <w:jc w:val="center"/>
              <w:rPr>
                <w:sz w:val="20"/>
                <w:szCs w:val="20"/>
              </w:rPr>
            </w:pPr>
            <w:r w:rsidRPr="00347A18">
              <w:rPr>
                <w:sz w:val="20"/>
                <w:szCs w:val="20"/>
              </w:rPr>
              <w:t>2.3</w:t>
            </w:r>
          </w:p>
          <w:p w:rsidR="00EA1875" w:rsidRPr="00347A18" w:rsidRDefault="00EA1875" w:rsidP="00562213">
            <w:pPr>
              <w:jc w:val="center"/>
              <w:rPr>
                <w:sz w:val="20"/>
                <w:szCs w:val="20"/>
              </w:rPr>
            </w:pPr>
            <w:r w:rsidRPr="00347A18">
              <w:rPr>
                <w:sz w:val="20"/>
                <w:szCs w:val="20"/>
              </w:rPr>
              <w:t>1.05</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0.65</w:t>
            </w:r>
          </w:p>
          <w:p w:rsidR="00EA1875" w:rsidRPr="00347A18" w:rsidRDefault="00EA1875" w:rsidP="00562213">
            <w:pPr>
              <w:jc w:val="center"/>
              <w:rPr>
                <w:sz w:val="20"/>
                <w:szCs w:val="20"/>
              </w:rPr>
            </w:pPr>
            <w:r w:rsidRPr="00347A18">
              <w:rPr>
                <w:sz w:val="20"/>
                <w:szCs w:val="20"/>
              </w:rPr>
              <w:t>1.72</w:t>
            </w:r>
          </w:p>
          <w:p w:rsidR="00EA1875" w:rsidRPr="00347A18" w:rsidRDefault="00EA1875" w:rsidP="00562213">
            <w:pPr>
              <w:jc w:val="center"/>
              <w:rPr>
                <w:sz w:val="20"/>
                <w:szCs w:val="20"/>
              </w:rPr>
            </w:pPr>
            <w:r w:rsidRPr="00347A18">
              <w:rPr>
                <w:sz w:val="20"/>
                <w:szCs w:val="20"/>
              </w:rPr>
              <w:t>1.13</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NO3</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0.15</w:t>
            </w:r>
          </w:p>
          <w:p w:rsidR="00EA1875" w:rsidRPr="00347A18" w:rsidRDefault="00EA1875" w:rsidP="00562213">
            <w:pPr>
              <w:jc w:val="center"/>
              <w:rPr>
                <w:sz w:val="20"/>
                <w:szCs w:val="20"/>
              </w:rPr>
            </w:pPr>
            <w:r w:rsidRPr="00347A18">
              <w:rPr>
                <w:sz w:val="20"/>
                <w:szCs w:val="20"/>
              </w:rPr>
              <w:t>3.2</w:t>
            </w:r>
          </w:p>
          <w:p w:rsidR="00EA1875" w:rsidRPr="00347A18" w:rsidRDefault="00EA1875" w:rsidP="00562213">
            <w:pPr>
              <w:jc w:val="center"/>
              <w:rPr>
                <w:sz w:val="20"/>
                <w:szCs w:val="20"/>
              </w:rPr>
            </w:pPr>
            <w:r w:rsidRPr="00347A18">
              <w:rPr>
                <w:sz w:val="20"/>
                <w:szCs w:val="20"/>
              </w:rPr>
              <w:t>1.7</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0.3</w:t>
            </w:r>
          </w:p>
          <w:p w:rsidR="00EA1875" w:rsidRPr="00347A18" w:rsidRDefault="00EA1875" w:rsidP="00562213">
            <w:pPr>
              <w:jc w:val="center"/>
              <w:rPr>
                <w:sz w:val="20"/>
                <w:szCs w:val="20"/>
              </w:rPr>
            </w:pPr>
            <w:r w:rsidRPr="00347A18">
              <w:rPr>
                <w:sz w:val="20"/>
                <w:szCs w:val="20"/>
              </w:rPr>
              <w:t>3.7</w:t>
            </w:r>
          </w:p>
          <w:p w:rsidR="00EA1875" w:rsidRPr="00347A18" w:rsidRDefault="00EA1875" w:rsidP="00562213">
            <w:pPr>
              <w:jc w:val="center"/>
              <w:rPr>
                <w:sz w:val="20"/>
                <w:szCs w:val="20"/>
              </w:rPr>
            </w:pPr>
            <w:r w:rsidRPr="00347A18">
              <w:rPr>
                <w:sz w:val="20"/>
                <w:szCs w:val="20"/>
              </w:rPr>
              <w:t>1.5</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0.54</w:t>
            </w:r>
          </w:p>
          <w:p w:rsidR="00EA1875" w:rsidRPr="00347A18" w:rsidRDefault="00EA1875" w:rsidP="00562213">
            <w:pPr>
              <w:jc w:val="center"/>
              <w:rPr>
                <w:sz w:val="20"/>
                <w:szCs w:val="20"/>
              </w:rPr>
            </w:pPr>
            <w:r w:rsidRPr="00347A18">
              <w:rPr>
                <w:sz w:val="20"/>
                <w:szCs w:val="20"/>
              </w:rPr>
              <w:t>3.3</w:t>
            </w:r>
          </w:p>
          <w:p w:rsidR="00EA1875" w:rsidRPr="00347A18" w:rsidRDefault="00EA1875" w:rsidP="00562213">
            <w:pPr>
              <w:jc w:val="center"/>
              <w:rPr>
                <w:sz w:val="20"/>
                <w:szCs w:val="20"/>
              </w:rPr>
            </w:pPr>
            <w:r w:rsidRPr="00347A18">
              <w:rPr>
                <w:sz w:val="20"/>
                <w:szCs w:val="20"/>
              </w:rPr>
              <w:t>1.9</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0.81</w:t>
            </w:r>
          </w:p>
          <w:p w:rsidR="00EA1875" w:rsidRPr="00347A18" w:rsidRDefault="00EA1875" w:rsidP="00562213">
            <w:pPr>
              <w:jc w:val="center"/>
              <w:rPr>
                <w:sz w:val="20"/>
                <w:szCs w:val="20"/>
              </w:rPr>
            </w:pPr>
            <w:r w:rsidRPr="00347A18">
              <w:rPr>
                <w:sz w:val="20"/>
                <w:szCs w:val="20"/>
              </w:rPr>
              <w:t>3.5</w:t>
            </w:r>
          </w:p>
          <w:p w:rsidR="00EA1875" w:rsidRPr="00347A18" w:rsidRDefault="00EA1875" w:rsidP="00562213">
            <w:pPr>
              <w:jc w:val="center"/>
              <w:rPr>
                <w:sz w:val="20"/>
                <w:szCs w:val="20"/>
              </w:rPr>
            </w:pPr>
            <w:r w:rsidRPr="00347A18">
              <w:rPr>
                <w:sz w:val="20"/>
                <w:szCs w:val="20"/>
              </w:rPr>
              <w:t>2.9</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0.91</w:t>
            </w:r>
          </w:p>
          <w:p w:rsidR="00EA1875" w:rsidRPr="00347A18" w:rsidRDefault="00EA1875" w:rsidP="00562213">
            <w:pPr>
              <w:jc w:val="center"/>
              <w:rPr>
                <w:sz w:val="20"/>
                <w:szCs w:val="20"/>
              </w:rPr>
            </w:pPr>
            <w:r w:rsidRPr="00347A18">
              <w:rPr>
                <w:sz w:val="20"/>
                <w:szCs w:val="20"/>
              </w:rPr>
              <w:t>3.9</w:t>
            </w:r>
          </w:p>
          <w:p w:rsidR="00EA1875" w:rsidRPr="00347A18" w:rsidRDefault="00EA1875" w:rsidP="00562213">
            <w:pPr>
              <w:jc w:val="center"/>
              <w:rPr>
                <w:sz w:val="20"/>
                <w:szCs w:val="20"/>
              </w:rPr>
            </w:pPr>
            <w:r w:rsidRPr="00347A18">
              <w:rPr>
                <w:sz w:val="20"/>
                <w:szCs w:val="20"/>
              </w:rPr>
              <w:t>2.9</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1.1</w:t>
            </w:r>
          </w:p>
          <w:p w:rsidR="00EA1875" w:rsidRPr="00347A18" w:rsidRDefault="00EA1875" w:rsidP="00562213">
            <w:pPr>
              <w:jc w:val="center"/>
              <w:rPr>
                <w:sz w:val="20"/>
                <w:szCs w:val="20"/>
              </w:rPr>
            </w:pPr>
            <w:r w:rsidRPr="00347A18">
              <w:rPr>
                <w:sz w:val="20"/>
                <w:szCs w:val="20"/>
              </w:rPr>
              <w:t>3.3</w:t>
            </w:r>
          </w:p>
          <w:p w:rsidR="00EA1875" w:rsidRPr="00347A18" w:rsidRDefault="00EA1875" w:rsidP="00562213">
            <w:pPr>
              <w:jc w:val="center"/>
              <w:rPr>
                <w:sz w:val="20"/>
                <w:szCs w:val="20"/>
              </w:rPr>
            </w:pPr>
            <w:r w:rsidRPr="00347A18">
              <w:rPr>
                <w:sz w:val="20"/>
                <w:szCs w:val="20"/>
              </w:rPr>
              <w:t>2.2</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1.3</w:t>
            </w:r>
          </w:p>
          <w:p w:rsidR="00EA1875" w:rsidRPr="00347A18" w:rsidRDefault="00EA1875" w:rsidP="00562213">
            <w:pPr>
              <w:jc w:val="center"/>
              <w:rPr>
                <w:sz w:val="20"/>
                <w:szCs w:val="20"/>
              </w:rPr>
            </w:pPr>
            <w:r w:rsidRPr="00347A18">
              <w:rPr>
                <w:sz w:val="20"/>
                <w:szCs w:val="20"/>
              </w:rPr>
              <w:t>2.6</w:t>
            </w:r>
          </w:p>
          <w:p w:rsidR="00EA1875" w:rsidRPr="00347A18" w:rsidRDefault="00EA1875" w:rsidP="00562213">
            <w:pPr>
              <w:jc w:val="center"/>
              <w:rPr>
                <w:sz w:val="20"/>
                <w:szCs w:val="20"/>
              </w:rPr>
            </w:pPr>
            <w:r w:rsidRPr="00347A18">
              <w:rPr>
                <w:sz w:val="20"/>
                <w:szCs w:val="20"/>
              </w:rPr>
              <w:t>2.05</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sidRPr="00347A18">
              <w:rPr>
                <w:sz w:val="20"/>
                <w:szCs w:val="20"/>
              </w:rPr>
              <w:t>BOD</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0.8</w:t>
            </w:r>
          </w:p>
          <w:p w:rsidR="00EA1875" w:rsidRPr="00347A18" w:rsidRDefault="00EA1875" w:rsidP="00562213">
            <w:pPr>
              <w:jc w:val="center"/>
              <w:rPr>
                <w:sz w:val="20"/>
                <w:szCs w:val="20"/>
              </w:rPr>
            </w:pPr>
            <w:r w:rsidRPr="00347A18">
              <w:rPr>
                <w:sz w:val="20"/>
                <w:szCs w:val="20"/>
              </w:rPr>
              <w:t>2.5</w:t>
            </w:r>
          </w:p>
          <w:p w:rsidR="00EA1875" w:rsidRPr="00347A18" w:rsidRDefault="00EA1875" w:rsidP="00562213">
            <w:pPr>
              <w:jc w:val="center"/>
              <w:rPr>
                <w:sz w:val="20"/>
                <w:szCs w:val="20"/>
              </w:rPr>
            </w:pPr>
            <w:r w:rsidRPr="00347A18">
              <w:rPr>
                <w:sz w:val="20"/>
                <w:szCs w:val="20"/>
              </w:rPr>
              <w:t>1.5</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1</w:t>
            </w:r>
          </w:p>
          <w:p w:rsidR="00EA1875" w:rsidRPr="00347A18" w:rsidRDefault="00EA1875" w:rsidP="00562213">
            <w:pPr>
              <w:jc w:val="center"/>
              <w:rPr>
                <w:sz w:val="20"/>
                <w:szCs w:val="20"/>
              </w:rPr>
            </w:pPr>
            <w:r w:rsidRPr="00347A18">
              <w:rPr>
                <w:sz w:val="20"/>
                <w:szCs w:val="20"/>
              </w:rPr>
              <w:t>1.5</w:t>
            </w:r>
          </w:p>
          <w:p w:rsidR="00EA1875" w:rsidRPr="00347A18" w:rsidRDefault="00EA1875" w:rsidP="00562213">
            <w:pPr>
              <w:jc w:val="center"/>
              <w:rPr>
                <w:sz w:val="20"/>
                <w:szCs w:val="20"/>
              </w:rPr>
            </w:pPr>
            <w:r w:rsidRPr="00347A18">
              <w:rPr>
                <w:sz w:val="20"/>
                <w:szCs w:val="20"/>
              </w:rPr>
              <w:t>1.3</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0.9</w:t>
            </w:r>
          </w:p>
          <w:p w:rsidR="00EA1875" w:rsidRPr="00347A18" w:rsidRDefault="00EA1875" w:rsidP="00562213">
            <w:pPr>
              <w:jc w:val="center"/>
              <w:rPr>
                <w:sz w:val="20"/>
                <w:szCs w:val="20"/>
              </w:rPr>
            </w:pPr>
            <w:r w:rsidRPr="00347A18">
              <w:rPr>
                <w:sz w:val="20"/>
                <w:szCs w:val="20"/>
              </w:rPr>
              <w:t>2.1</w:t>
            </w:r>
          </w:p>
          <w:p w:rsidR="00EA1875" w:rsidRPr="00347A18" w:rsidRDefault="00EA1875" w:rsidP="00562213">
            <w:pPr>
              <w:jc w:val="center"/>
              <w:rPr>
                <w:sz w:val="20"/>
                <w:szCs w:val="20"/>
              </w:rPr>
            </w:pPr>
            <w:r w:rsidRPr="00347A18">
              <w:rPr>
                <w:sz w:val="20"/>
                <w:szCs w:val="20"/>
              </w:rPr>
              <w:t>1.4</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2.3</w:t>
            </w:r>
          </w:p>
          <w:p w:rsidR="00EA1875" w:rsidRPr="00347A18" w:rsidRDefault="00EA1875" w:rsidP="00562213">
            <w:pPr>
              <w:jc w:val="center"/>
              <w:rPr>
                <w:sz w:val="20"/>
                <w:szCs w:val="20"/>
              </w:rPr>
            </w:pPr>
            <w:r w:rsidRPr="00347A18">
              <w:rPr>
                <w:sz w:val="20"/>
                <w:szCs w:val="20"/>
              </w:rPr>
              <w:t>7.4</w:t>
            </w:r>
          </w:p>
          <w:p w:rsidR="00EA1875" w:rsidRPr="00347A18" w:rsidRDefault="00EA1875" w:rsidP="00562213">
            <w:pPr>
              <w:jc w:val="center"/>
              <w:rPr>
                <w:sz w:val="20"/>
                <w:szCs w:val="20"/>
              </w:rPr>
            </w:pPr>
            <w:r w:rsidRPr="00347A18">
              <w:rPr>
                <w:sz w:val="20"/>
                <w:szCs w:val="20"/>
              </w:rPr>
              <w:t>4.2</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2.1</w:t>
            </w:r>
          </w:p>
          <w:p w:rsidR="00EA1875" w:rsidRPr="00347A18" w:rsidRDefault="00EA1875" w:rsidP="00562213">
            <w:pPr>
              <w:jc w:val="center"/>
              <w:rPr>
                <w:sz w:val="20"/>
                <w:szCs w:val="20"/>
              </w:rPr>
            </w:pPr>
            <w:r w:rsidRPr="00347A18">
              <w:rPr>
                <w:sz w:val="20"/>
                <w:szCs w:val="20"/>
              </w:rPr>
              <w:t>6.5</w:t>
            </w:r>
          </w:p>
          <w:p w:rsidR="00EA1875" w:rsidRPr="00347A18" w:rsidRDefault="00EA1875" w:rsidP="00562213">
            <w:pPr>
              <w:jc w:val="center"/>
              <w:rPr>
                <w:sz w:val="20"/>
                <w:szCs w:val="20"/>
              </w:rPr>
            </w:pPr>
            <w:r w:rsidRPr="00347A18">
              <w:rPr>
                <w:sz w:val="20"/>
                <w:szCs w:val="20"/>
              </w:rPr>
              <w:t>4.6</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1.9</w:t>
            </w:r>
          </w:p>
          <w:p w:rsidR="00EA1875" w:rsidRPr="00347A18" w:rsidRDefault="00EA1875" w:rsidP="00562213">
            <w:pPr>
              <w:jc w:val="center"/>
              <w:rPr>
                <w:sz w:val="20"/>
                <w:szCs w:val="20"/>
              </w:rPr>
            </w:pPr>
            <w:r w:rsidRPr="00347A18">
              <w:rPr>
                <w:sz w:val="20"/>
                <w:szCs w:val="20"/>
              </w:rPr>
              <w:t>5.1</w:t>
            </w:r>
          </w:p>
          <w:p w:rsidR="00EA1875" w:rsidRPr="00347A18" w:rsidRDefault="00EA1875" w:rsidP="00562213">
            <w:pPr>
              <w:jc w:val="center"/>
              <w:rPr>
                <w:sz w:val="20"/>
                <w:szCs w:val="20"/>
              </w:rPr>
            </w:pPr>
            <w:r w:rsidRPr="00347A18">
              <w:rPr>
                <w:sz w:val="20"/>
                <w:szCs w:val="20"/>
              </w:rPr>
              <w:t>3.4</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2.0</w:t>
            </w:r>
          </w:p>
          <w:p w:rsidR="00EA1875" w:rsidRPr="00347A18" w:rsidRDefault="00EA1875" w:rsidP="00562213">
            <w:pPr>
              <w:jc w:val="center"/>
              <w:rPr>
                <w:sz w:val="20"/>
                <w:szCs w:val="20"/>
              </w:rPr>
            </w:pPr>
            <w:r w:rsidRPr="00347A18">
              <w:rPr>
                <w:sz w:val="20"/>
                <w:szCs w:val="20"/>
              </w:rPr>
              <w:t>6.3</w:t>
            </w:r>
          </w:p>
          <w:p w:rsidR="00EA1875" w:rsidRPr="00347A18" w:rsidRDefault="00EA1875" w:rsidP="00562213">
            <w:pPr>
              <w:jc w:val="center"/>
              <w:rPr>
                <w:sz w:val="20"/>
                <w:szCs w:val="20"/>
              </w:rPr>
            </w:pPr>
            <w:r w:rsidRPr="00347A18">
              <w:rPr>
                <w:sz w:val="20"/>
                <w:szCs w:val="20"/>
              </w:rPr>
              <w:t>4.2</w:t>
            </w:r>
          </w:p>
        </w:tc>
      </w:tr>
      <w:tr w:rsidR="00EA1875" w:rsidRPr="00347A18" w:rsidTr="007D4D3B">
        <w:trPr>
          <w:gridBefore w:val="1"/>
          <w:jc w:val="center"/>
        </w:trPr>
        <w:tc>
          <w:tcPr>
            <w:tcW w:w="560" w:type="pct"/>
            <w:vAlign w:val="center"/>
          </w:tcPr>
          <w:p w:rsidR="00EA1875" w:rsidRPr="00347A18" w:rsidRDefault="00EA1875" w:rsidP="00562213">
            <w:pPr>
              <w:jc w:val="center"/>
              <w:rPr>
                <w:sz w:val="20"/>
                <w:szCs w:val="20"/>
              </w:rPr>
            </w:pPr>
            <w:r>
              <w:rPr>
                <w:sz w:val="20"/>
                <w:szCs w:val="20"/>
              </w:rPr>
              <w:t>FC</w:t>
            </w:r>
          </w:p>
        </w:tc>
        <w:tc>
          <w:tcPr>
            <w:tcW w:w="341" w:type="pct"/>
            <w:tcBorders>
              <w:right w:val="nil"/>
            </w:tcBorders>
            <w:vAlign w:val="center"/>
          </w:tcPr>
          <w:p w:rsidR="00EA1875" w:rsidRPr="00347A18" w:rsidRDefault="00EA1875" w:rsidP="00562213">
            <w:pPr>
              <w:rPr>
                <w:sz w:val="20"/>
                <w:szCs w:val="20"/>
              </w:rPr>
            </w:pPr>
            <w:r w:rsidRPr="00347A18">
              <w:rPr>
                <w:sz w:val="20"/>
                <w:szCs w:val="20"/>
              </w:rPr>
              <w:t>Min</w:t>
            </w:r>
          </w:p>
          <w:p w:rsidR="00EA1875" w:rsidRPr="00347A18" w:rsidRDefault="00EA1875" w:rsidP="00562213">
            <w:pPr>
              <w:rPr>
                <w:sz w:val="20"/>
                <w:szCs w:val="20"/>
              </w:rPr>
            </w:pPr>
            <w:r w:rsidRPr="00347A18">
              <w:rPr>
                <w:sz w:val="20"/>
                <w:szCs w:val="20"/>
              </w:rPr>
              <w:t>Max</w:t>
            </w:r>
          </w:p>
          <w:p w:rsidR="00EA1875" w:rsidRPr="00347A18" w:rsidRDefault="00EA1875" w:rsidP="00562213">
            <w:pPr>
              <w:rPr>
                <w:sz w:val="20"/>
                <w:szCs w:val="20"/>
              </w:rPr>
            </w:pPr>
            <w:r w:rsidRPr="00347A18">
              <w:rPr>
                <w:sz w:val="20"/>
                <w:szCs w:val="20"/>
              </w:rPr>
              <w:t>Mean</w:t>
            </w:r>
          </w:p>
        </w:tc>
        <w:tc>
          <w:tcPr>
            <w:tcW w:w="573" w:type="pct"/>
            <w:tcBorders>
              <w:left w:val="nil"/>
              <w:right w:val="nil"/>
            </w:tcBorders>
            <w:vAlign w:val="center"/>
          </w:tcPr>
          <w:p w:rsidR="00EA1875" w:rsidRPr="00347A18" w:rsidRDefault="00EA1875" w:rsidP="00562213">
            <w:pPr>
              <w:jc w:val="center"/>
              <w:rPr>
                <w:sz w:val="20"/>
                <w:szCs w:val="20"/>
              </w:rPr>
            </w:pPr>
            <w:r w:rsidRPr="00347A18">
              <w:rPr>
                <w:sz w:val="20"/>
                <w:szCs w:val="20"/>
              </w:rPr>
              <w:t>200</w:t>
            </w:r>
          </w:p>
          <w:p w:rsidR="00EA1875" w:rsidRPr="00347A18" w:rsidRDefault="00EA1875" w:rsidP="00562213">
            <w:pPr>
              <w:jc w:val="center"/>
              <w:rPr>
                <w:sz w:val="20"/>
                <w:szCs w:val="20"/>
              </w:rPr>
            </w:pPr>
            <w:r w:rsidRPr="00347A18">
              <w:rPr>
                <w:sz w:val="20"/>
                <w:szCs w:val="20"/>
              </w:rPr>
              <w:t>1000</w:t>
            </w:r>
          </w:p>
          <w:p w:rsidR="00EA1875" w:rsidRPr="00347A18" w:rsidRDefault="00EA1875" w:rsidP="00562213">
            <w:pPr>
              <w:jc w:val="center"/>
              <w:rPr>
                <w:sz w:val="20"/>
                <w:szCs w:val="20"/>
              </w:rPr>
            </w:pPr>
            <w:r w:rsidRPr="00347A18">
              <w:rPr>
                <w:sz w:val="20"/>
                <w:szCs w:val="20"/>
              </w:rPr>
              <w:t>421</w:t>
            </w:r>
          </w:p>
        </w:tc>
        <w:tc>
          <w:tcPr>
            <w:tcW w:w="587" w:type="pct"/>
            <w:tcBorders>
              <w:left w:val="nil"/>
              <w:right w:val="nil"/>
            </w:tcBorders>
            <w:vAlign w:val="center"/>
          </w:tcPr>
          <w:p w:rsidR="00EA1875" w:rsidRPr="00347A18" w:rsidRDefault="00EA1875" w:rsidP="00562213">
            <w:pPr>
              <w:jc w:val="center"/>
              <w:rPr>
                <w:sz w:val="20"/>
                <w:szCs w:val="20"/>
              </w:rPr>
            </w:pPr>
            <w:r w:rsidRPr="00347A18">
              <w:rPr>
                <w:sz w:val="20"/>
                <w:szCs w:val="20"/>
              </w:rPr>
              <w:t>200</w:t>
            </w:r>
          </w:p>
          <w:p w:rsidR="00EA1875" w:rsidRPr="00347A18" w:rsidRDefault="00EA1875" w:rsidP="00562213">
            <w:pPr>
              <w:jc w:val="center"/>
              <w:rPr>
                <w:sz w:val="20"/>
                <w:szCs w:val="20"/>
              </w:rPr>
            </w:pPr>
            <w:r w:rsidRPr="00347A18">
              <w:rPr>
                <w:sz w:val="20"/>
                <w:szCs w:val="20"/>
              </w:rPr>
              <w:t>1400</w:t>
            </w:r>
          </w:p>
          <w:p w:rsidR="00EA1875" w:rsidRPr="00347A18" w:rsidRDefault="00EA1875" w:rsidP="00562213">
            <w:pPr>
              <w:jc w:val="center"/>
              <w:rPr>
                <w:sz w:val="20"/>
                <w:szCs w:val="20"/>
              </w:rPr>
            </w:pPr>
            <w:r w:rsidRPr="00347A18">
              <w:rPr>
                <w:sz w:val="20"/>
                <w:szCs w:val="20"/>
              </w:rPr>
              <w:t>590</w:t>
            </w:r>
          </w:p>
        </w:tc>
        <w:tc>
          <w:tcPr>
            <w:tcW w:w="724" w:type="pct"/>
            <w:tcBorders>
              <w:left w:val="nil"/>
              <w:right w:val="nil"/>
            </w:tcBorders>
            <w:vAlign w:val="center"/>
          </w:tcPr>
          <w:p w:rsidR="00EA1875" w:rsidRPr="00347A18" w:rsidRDefault="00EA1875" w:rsidP="00562213">
            <w:pPr>
              <w:jc w:val="center"/>
              <w:rPr>
                <w:sz w:val="20"/>
                <w:szCs w:val="20"/>
              </w:rPr>
            </w:pPr>
            <w:r w:rsidRPr="00347A18">
              <w:rPr>
                <w:sz w:val="20"/>
                <w:szCs w:val="20"/>
              </w:rPr>
              <w:t>210</w:t>
            </w:r>
          </w:p>
          <w:p w:rsidR="00EA1875" w:rsidRPr="00347A18" w:rsidRDefault="00EA1875" w:rsidP="00562213">
            <w:pPr>
              <w:jc w:val="center"/>
              <w:rPr>
                <w:sz w:val="20"/>
                <w:szCs w:val="20"/>
              </w:rPr>
            </w:pPr>
            <w:r w:rsidRPr="00347A18">
              <w:rPr>
                <w:sz w:val="20"/>
                <w:szCs w:val="20"/>
              </w:rPr>
              <w:t>1500</w:t>
            </w:r>
          </w:p>
          <w:p w:rsidR="00EA1875" w:rsidRPr="00347A18" w:rsidRDefault="00EA1875" w:rsidP="00562213">
            <w:pPr>
              <w:jc w:val="center"/>
              <w:rPr>
                <w:sz w:val="20"/>
                <w:szCs w:val="20"/>
              </w:rPr>
            </w:pPr>
            <w:r w:rsidRPr="00347A18">
              <w:rPr>
                <w:sz w:val="20"/>
                <w:szCs w:val="20"/>
              </w:rPr>
              <w:t>620</w:t>
            </w:r>
          </w:p>
        </w:tc>
        <w:tc>
          <w:tcPr>
            <w:tcW w:w="541" w:type="pct"/>
            <w:tcBorders>
              <w:left w:val="nil"/>
              <w:right w:val="nil"/>
            </w:tcBorders>
            <w:vAlign w:val="center"/>
          </w:tcPr>
          <w:p w:rsidR="00EA1875" w:rsidRPr="00347A18" w:rsidRDefault="00EA1875" w:rsidP="00562213">
            <w:pPr>
              <w:jc w:val="center"/>
              <w:rPr>
                <w:sz w:val="20"/>
                <w:szCs w:val="20"/>
              </w:rPr>
            </w:pPr>
            <w:r w:rsidRPr="00347A18">
              <w:rPr>
                <w:sz w:val="20"/>
                <w:szCs w:val="20"/>
              </w:rPr>
              <w:t>260</w:t>
            </w:r>
          </w:p>
          <w:p w:rsidR="00EA1875" w:rsidRPr="00347A18" w:rsidRDefault="00EA1875" w:rsidP="00562213">
            <w:pPr>
              <w:jc w:val="center"/>
              <w:rPr>
                <w:sz w:val="20"/>
                <w:szCs w:val="20"/>
              </w:rPr>
            </w:pPr>
            <w:r w:rsidRPr="00347A18">
              <w:rPr>
                <w:sz w:val="20"/>
                <w:szCs w:val="20"/>
              </w:rPr>
              <w:t>1400</w:t>
            </w:r>
          </w:p>
          <w:p w:rsidR="00EA1875" w:rsidRPr="00347A18" w:rsidRDefault="00EA1875" w:rsidP="00562213">
            <w:pPr>
              <w:jc w:val="center"/>
              <w:rPr>
                <w:sz w:val="20"/>
                <w:szCs w:val="20"/>
              </w:rPr>
            </w:pPr>
            <w:r w:rsidRPr="00347A18">
              <w:rPr>
                <w:sz w:val="20"/>
                <w:szCs w:val="20"/>
              </w:rPr>
              <w:t>730</w:t>
            </w:r>
          </w:p>
        </w:tc>
        <w:tc>
          <w:tcPr>
            <w:tcW w:w="540" w:type="pct"/>
            <w:tcBorders>
              <w:left w:val="nil"/>
              <w:right w:val="nil"/>
            </w:tcBorders>
            <w:vAlign w:val="center"/>
          </w:tcPr>
          <w:p w:rsidR="00EA1875" w:rsidRPr="00347A18" w:rsidRDefault="00EA1875" w:rsidP="00562213">
            <w:pPr>
              <w:jc w:val="center"/>
              <w:rPr>
                <w:sz w:val="20"/>
                <w:szCs w:val="20"/>
              </w:rPr>
            </w:pPr>
            <w:r w:rsidRPr="00347A18">
              <w:rPr>
                <w:sz w:val="20"/>
                <w:szCs w:val="20"/>
              </w:rPr>
              <w:t>263</w:t>
            </w:r>
          </w:p>
          <w:p w:rsidR="00EA1875" w:rsidRPr="00347A18" w:rsidRDefault="00EA1875" w:rsidP="00562213">
            <w:pPr>
              <w:jc w:val="center"/>
              <w:rPr>
                <w:sz w:val="20"/>
                <w:szCs w:val="20"/>
              </w:rPr>
            </w:pPr>
            <w:r w:rsidRPr="00347A18">
              <w:rPr>
                <w:sz w:val="20"/>
                <w:szCs w:val="20"/>
              </w:rPr>
              <w:t>1320</w:t>
            </w:r>
          </w:p>
          <w:p w:rsidR="00EA1875" w:rsidRPr="00347A18" w:rsidRDefault="00EA1875" w:rsidP="00562213">
            <w:pPr>
              <w:jc w:val="center"/>
              <w:rPr>
                <w:sz w:val="20"/>
                <w:szCs w:val="20"/>
              </w:rPr>
            </w:pPr>
            <w:r w:rsidRPr="00347A18">
              <w:rPr>
                <w:sz w:val="20"/>
                <w:szCs w:val="20"/>
              </w:rPr>
              <w:t>1020</w:t>
            </w:r>
          </w:p>
        </w:tc>
        <w:tc>
          <w:tcPr>
            <w:tcW w:w="539" w:type="pct"/>
            <w:tcBorders>
              <w:left w:val="nil"/>
              <w:right w:val="nil"/>
            </w:tcBorders>
            <w:vAlign w:val="center"/>
          </w:tcPr>
          <w:p w:rsidR="00EA1875" w:rsidRPr="00347A18" w:rsidRDefault="00EA1875" w:rsidP="00562213">
            <w:pPr>
              <w:jc w:val="center"/>
              <w:rPr>
                <w:sz w:val="20"/>
                <w:szCs w:val="20"/>
              </w:rPr>
            </w:pPr>
            <w:r w:rsidRPr="00347A18">
              <w:rPr>
                <w:sz w:val="20"/>
                <w:szCs w:val="20"/>
              </w:rPr>
              <w:t>200</w:t>
            </w:r>
          </w:p>
          <w:p w:rsidR="00EA1875" w:rsidRPr="00347A18" w:rsidRDefault="00EA1875" w:rsidP="00562213">
            <w:pPr>
              <w:jc w:val="center"/>
              <w:rPr>
                <w:sz w:val="20"/>
                <w:szCs w:val="20"/>
              </w:rPr>
            </w:pPr>
            <w:r w:rsidRPr="00347A18">
              <w:rPr>
                <w:sz w:val="20"/>
                <w:szCs w:val="20"/>
              </w:rPr>
              <w:t>1350</w:t>
            </w:r>
          </w:p>
          <w:p w:rsidR="00EA1875" w:rsidRPr="00347A18" w:rsidRDefault="00EA1875" w:rsidP="00562213">
            <w:pPr>
              <w:jc w:val="center"/>
              <w:rPr>
                <w:sz w:val="20"/>
                <w:szCs w:val="20"/>
              </w:rPr>
            </w:pPr>
            <w:r w:rsidRPr="00347A18">
              <w:rPr>
                <w:sz w:val="20"/>
                <w:szCs w:val="20"/>
              </w:rPr>
              <w:t>920</w:t>
            </w:r>
          </w:p>
        </w:tc>
        <w:tc>
          <w:tcPr>
            <w:tcW w:w="596" w:type="pct"/>
            <w:tcBorders>
              <w:left w:val="nil"/>
            </w:tcBorders>
            <w:vAlign w:val="center"/>
          </w:tcPr>
          <w:p w:rsidR="00EA1875" w:rsidRPr="00347A18" w:rsidRDefault="00EA1875" w:rsidP="00562213">
            <w:pPr>
              <w:jc w:val="center"/>
              <w:rPr>
                <w:sz w:val="20"/>
                <w:szCs w:val="20"/>
              </w:rPr>
            </w:pPr>
            <w:r w:rsidRPr="00347A18">
              <w:rPr>
                <w:sz w:val="20"/>
                <w:szCs w:val="20"/>
              </w:rPr>
              <w:t>210</w:t>
            </w:r>
          </w:p>
          <w:p w:rsidR="00EA1875" w:rsidRPr="00347A18" w:rsidRDefault="00EA1875" w:rsidP="00562213">
            <w:pPr>
              <w:jc w:val="center"/>
              <w:rPr>
                <w:sz w:val="20"/>
                <w:szCs w:val="20"/>
              </w:rPr>
            </w:pPr>
            <w:r w:rsidRPr="00347A18">
              <w:rPr>
                <w:sz w:val="20"/>
                <w:szCs w:val="20"/>
              </w:rPr>
              <w:t>1400</w:t>
            </w:r>
          </w:p>
          <w:p w:rsidR="00EA1875" w:rsidRPr="00347A18" w:rsidRDefault="00EA1875" w:rsidP="00562213">
            <w:pPr>
              <w:jc w:val="center"/>
              <w:rPr>
                <w:sz w:val="20"/>
                <w:szCs w:val="20"/>
              </w:rPr>
            </w:pPr>
            <w:r w:rsidRPr="00347A18">
              <w:rPr>
                <w:sz w:val="20"/>
                <w:szCs w:val="20"/>
              </w:rPr>
              <w:t>663</w:t>
            </w:r>
          </w:p>
        </w:tc>
      </w:tr>
    </w:tbl>
    <w:p w:rsidR="00EA1875" w:rsidRPr="007D4D3B" w:rsidRDefault="00EA1875" w:rsidP="00562213">
      <w:pPr>
        <w:pStyle w:val="figlegend"/>
        <w:spacing w:before="0"/>
        <w:rPr>
          <w:sz w:val="18"/>
          <w:szCs w:val="18"/>
        </w:rPr>
      </w:pPr>
      <w:r w:rsidRPr="007D4D3B">
        <w:rPr>
          <w:sz w:val="18"/>
          <w:szCs w:val="18"/>
          <w:vertAlign w:val="superscript"/>
        </w:rPr>
        <w:t>*</w:t>
      </w:r>
      <w:r w:rsidRPr="007D4D3B">
        <w:rPr>
          <w:sz w:val="18"/>
          <w:szCs w:val="18"/>
        </w:rPr>
        <w:t xml:space="preserve"> All values in mg/l except pH, EC (µs/cm), FC (CFU/100 ml) and TBR (NTU)</w:t>
      </w:r>
    </w:p>
    <w:p w:rsidR="00EA1875" w:rsidRDefault="00EA1875" w:rsidP="00562213">
      <w:pPr>
        <w:autoSpaceDE w:val="0"/>
        <w:autoSpaceDN w:val="0"/>
        <w:adjustRightInd w:val="0"/>
        <w:jc w:val="both"/>
        <w:rPr>
          <w:color w:val="131313"/>
        </w:rPr>
      </w:pPr>
    </w:p>
    <w:p w:rsidR="00EA1875" w:rsidRDefault="00EA1875" w:rsidP="00562213">
      <w:pPr>
        <w:autoSpaceDE w:val="0"/>
        <w:autoSpaceDN w:val="0"/>
        <w:adjustRightInd w:val="0"/>
        <w:ind w:firstLine="426"/>
        <w:jc w:val="both"/>
        <w:rPr>
          <w:color w:val="131313"/>
        </w:rPr>
      </w:pPr>
      <w:r w:rsidRPr="002B72A0">
        <w:rPr>
          <w:color w:val="131313"/>
        </w:rPr>
        <w:t>According to the Fig. 2 and a subsequent interpretation of the factor loadings, the first three components were extracted and the other components have been eliminated. This means that majority of the total variance of the original data has been explained by the first three factors. Then</w:t>
      </w:r>
      <w:r>
        <w:rPr>
          <w:color w:val="131313"/>
        </w:rPr>
        <w:t>, it was</w:t>
      </w:r>
      <w:r w:rsidRPr="002B72A0">
        <w:rPr>
          <w:color w:val="131313"/>
        </w:rPr>
        <w:t xml:space="preserve"> used factor rotation (Varimax) to obtain readily interpretable factor loadings (Johnson and Wichern 2002). Table 3 shows the proportion of total variance explained by the first three factors for both rotated and non-rotated factor loadings.</w:t>
      </w:r>
    </w:p>
    <w:p w:rsidR="00EA1875" w:rsidRPr="002B72A0" w:rsidRDefault="00EA1875" w:rsidP="00562213">
      <w:pPr>
        <w:autoSpaceDE w:val="0"/>
        <w:autoSpaceDN w:val="0"/>
        <w:adjustRightInd w:val="0"/>
        <w:rPr>
          <w:color w:val="131313"/>
        </w:rPr>
      </w:pPr>
    </w:p>
    <w:p w:rsidR="00EA1875" w:rsidRDefault="00EA1875" w:rsidP="00562213">
      <w:pPr>
        <w:autoSpaceDE w:val="0"/>
        <w:autoSpaceDN w:val="0"/>
        <w:adjustRightInd w:val="0"/>
        <w:jc w:val="center"/>
        <w:rPr>
          <w:rFonts w:ascii="AdvTT3713a231" w:hAnsi="AdvTT3713a231" w:cs="AdvTT3713a231"/>
          <w:color w:val="141314"/>
          <w:sz w:val="20"/>
          <w:szCs w:val="20"/>
        </w:rPr>
      </w:pPr>
      <w:r w:rsidRPr="00C534D0">
        <w:rPr>
          <w:noProof/>
          <w:color w:val="141314"/>
          <w:sz w:val="20"/>
          <w:szCs w:val="20"/>
        </w:rPr>
        <w:pict>
          <v:shape id="Picture 2" o:spid="_x0000_i1029" type="#_x0000_t75" alt="Untitled" style="width:327.75pt;height:180.75pt;visibility:visible">
            <v:imagedata r:id="rId13" o:title=""/>
          </v:shape>
        </w:pict>
      </w:r>
    </w:p>
    <w:p w:rsidR="00EA1875" w:rsidRPr="00C2517E" w:rsidRDefault="00EA1875" w:rsidP="00562213">
      <w:pPr>
        <w:pStyle w:val="figlegend"/>
        <w:spacing w:before="0"/>
        <w:jc w:val="center"/>
        <w:rPr>
          <w:sz w:val="22"/>
          <w:szCs w:val="22"/>
        </w:rPr>
      </w:pPr>
      <w:r w:rsidRPr="00C2517E">
        <w:rPr>
          <w:sz w:val="22"/>
          <w:szCs w:val="22"/>
        </w:rPr>
        <w:t>Figure 2 Scree plot of eigenvalues versus components for the observed water quality</w:t>
      </w:r>
    </w:p>
    <w:p w:rsidR="00EA1875" w:rsidRDefault="00EA1875" w:rsidP="00562213">
      <w:pPr>
        <w:autoSpaceDE w:val="0"/>
        <w:autoSpaceDN w:val="0"/>
        <w:adjustRightInd w:val="0"/>
        <w:rPr>
          <w:rFonts w:ascii="AdvTT3713a231" w:hAnsi="AdvTT3713a231" w:cs="AdvTT3713a231"/>
          <w:color w:val="141314"/>
          <w:sz w:val="20"/>
          <w:szCs w:val="20"/>
        </w:rPr>
      </w:pPr>
    </w:p>
    <w:p w:rsidR="00EA1875" w:rsidRPr="0040329F" w:rsidRDefault="00EA1875" w:rsidP="00562213">
      <w:pPr>
        <w:autoSpaceDE w:val="0"/>
        <w:autoSpaceDN w:val="0"/>
        <w:adjustRightInd w:val="0"/>
        <w:ind w:firstLine="567"/>
        <w:jc w:val="both"/>
        <w:rPr>
          <w:color w:val="000000"/>
        </w:rPr>
      </w:pPr>
      <w:r w:rsidRPr="002A4E77">
        <w:rPr>
          <w:color w:val="000000"/>
        </w:rPr>
        <w:t xml:space="preserve">It is clear that 49.829%, 24.967% and 11.954% of the total variance of the </w:t>
      </w:r>
      <w:r>
        <w:rPr>
          <w:color w:val="000000"/>
        </w:rPr>
        <w:t xml:space="preserve">observed </w:t>
      </w:r>
      <w:r w:rsidRPr="002A4E77">
        <w:rPr>
          <w:color w:val="000000"/>
        </w:rPr>
        <w:t>water quality data are explained by the first</w:t>
      </w:r>
      <w:r>
        <w:rPr>
          <w:color w:val="000000"/>
        </w:rPr>
        <w:t>, second</w:t>
      </w:r>
      <w:r w:rsidRPr="002A4E77">
        <w:rPr>
          <w:color w:val="000000"/>
        </w:rPr>
        <w:t xml:space="preserve"> and the </w:t>
      </w:r>
      <w:r>
        <w:rPr>
          <w:color w:val="000000"/>
        </w:rPr>
        <w:t>third</w:t>
      </w:r>
      <w:r w:rsidRPr="002A4E77">
        <w:rPr>
          <w:color w:val="000000"/>
        </w:rPr>
        <w:t xml:space="preserve"> components, respectively. While the first </w:t>
      </w:r>
      <w:r>
        <w:rPr>
          <w:color w:val="000000"/>
        </w:rPr>
        <w:t>three</w:t>
      </w:r>
      <w:r w:rsidRPr="002A4E77">
        <w:rPr>
          <w:color w:val="000000"/>
        </w:rPr>
        <w:t xml:space="preserve"> components explain about 86.75% of the total variance, the remaining 11 components only explain 13.</w:t>
      </w:r>
      <w:r>
        <w:rPr>
          <w:color w:val="000000"/>
        </w:rPr>
        <w:t>25</w:t>
      </w:r>
      <w:r w:rsidRPr="002A4E77">
        <w:rPr>
          <w:color w:val="000000"/>
        </w:rPr>
        <w:t xml:space="preserve">%. The factor loadings for the first </w:t>
      </w:r>
      <w:r>
        <w:rPr>
          <w:color w:val="000000"/>
        </w:rPr>
        <w:t>three</w:t>
      </w:r>
      <w:r w:rsidRPr="002A4E77">
        <w:rPr>
          <w:color w:val="000000"/>
        </w:rPr>
        <w:t xml:space="preserve"> </w:t>
      </w:r>
      <w:r>
        <w:rPr>
          <w:color w:val="000000"/>
        </w:rPr>
        <w:t xml:space="preserve">components from the factor </w:t>
      </w:r>
      <w:r w:rsidRPr="002A4E77">
        <w:rPr>
          <w:color w:val="000000"/>
        </w:rPr>
        <w:t xml:space="preserve">analysis of the </w:t>
      </w:r>
      <w:r>
        <w:rPr>
          <w:color w:val="000000"/>
        </w:rPr>
        <w:t xml:space="preserve">observed </w:t>
      </w:r>
      <w:r w:rsidRPr="002A4E77">
        <w:rPr>
          <w:color w:val="000000"/>
        </w:rPr>
        <w:t>water quality data are given in Table 4.</w:t>
      </w:r>
      <w:r>
        <w:rPr>
          <w:color w:val="000000"/>
        </w:rPr>
        <w:t xml:space="preserve"> </w:t>
      </w:r>
      <w:r w:rsidRPr="00E75E18">
        <w:rPr>
          <w:color w:val="000000"/>
        </w:rPr>
        <w:t>And the factor loadings were classified as ‘strong’, ‘moderate’ and ‘weak’, corresponding to absolute loading values of &gt;0.75, 0.75–0.50 and 0.50–0.30, respectively (Liu et al. 2003).</w:t>
      </w:r>
      <w:r>
        <w:rPr>
          <w:color w:val="000000"/>
        </w:rPr>
        <w:t xml:space="preserve"> </w:t>
      </w:r>
    </w:p>
    <w:p w:rsidR="00EA1875" w:rsidRPr="00C2517E" w:rsidRDefault="00EA1875" w:rsidP="00562213">
      <w:pPr>
        <w:pStyle w:val="tablelegend"/>
        <w:spacing w:before="0"/>
        <w:rPr>
          <w:sz w:val="22"/>
          <w:szCs w:val="22"/>
        </w:rPr>
      </w:pPr>
      <w:r w:rsidRPr="00C2517E">
        <w:rPr>
          <w:sz w:val="22"/>
          <w:szCs w:val="22"/>
        </w:rPr>
        <w:t>Table 3 Total variance explained before and after Varimax rotation</w:t>
      </w:r>
    </w:p>
    <w:tbl>
      <w:tblPr>
        <w:tblW w:w="5646" w:type="pct"/>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69"/>
        <w:gridCol w:w="1129"/>
        <w:gridCol w:w="1318"/>
        <w:gridCol w:w="1163"/>
        <w:gridCol w:w="781"/>
        <w:gridCol w:w="951"/>
        <w:gridCol w:w="957"/>
        <w:gridCol w:w="605"/>
        <w:gridCol w:w="951"/>
        <w:gridCol w:w="1031"/>
      </w:tblGrid>
      <w:tr w:rsidR="00EA1875" w:rsidRPr="00594965" w:rsidTr="00C24E70">
        <w:trPr>
          <w:cantSplit/>
          <w:tblHeader/>
        </w:trPr>
        <w:tc>
          <w:tcPr>
            <w:tcW w:w="301" w:type="pct"/>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extDirection w:val="btL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Component</w:t>
            </w:r>
          </w:p>
        </w:tc>
        <w:tc>
          <w:tcPr>
            <w:tcW w:w="1909"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Initial Eigenvalues</w:t>
            </w:r>
          </w:p>
        </w:tc>
        <w:tc>
          <w:tcPr>
            <w:tcW w:w="1422" w:type="pct"/>
            <w:gridSpan w:val="3"/>
            <w:tcBorders>
              <w:top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Extraction Sums of Squared Loadings</w:t>
            </w:r>
          </w:p>
        </w:tc>
        <w:tc>
          <w:tcPr>
            <w:tcW w:w="1369" w:type="pct"/>
            <w:gridSpan w:val="3"/>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Rotation Sums of Squared Loadings</w:t>
            </w:r>
          </w:p>
        </w:tc>
      </w:tr>
      <w:tr w:rsidR="00EA1875" w:rsidRPr="00594965" w:rsidTr="00C24E70">
        <w:trPr>
          <w:cantSplit/>
          <w:tblHeader/>
        </w:trPr>
        <w:tc>
          <w:tcPr>
            <w:tcW w:w="301" w:type="pct"/>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97" w:type="pct"/>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Total</w:t>
            </w:r>
          </w:p>
        </w:tc>
        <w:tc>
          <w:tcPr>
            <w:tcW w:w="697"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 of Variance</w:t>
            </w:r>
          </w:p>
        </w:tc>
        <w:tc>
          <w:tcPr>
            <w:tcW w:w="615"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Cumulative %</w:t>
            </w:r>
          </w:p>
        </w:tc>
        <w:tc>
          <w:tcPr>
            <w:tcW w:w="413"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Total</w:t>
            </w:r>
          </w:p>
        </w:tc>
        <w:tc>
          <w:tcPr>
            <w:tcW w:w="503"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 of Variance</w:t>
            </w:r>
          </w:p>
        </w:tc>
        <w:tc>
          <w:tcPr>
            <w:tcW w:w="506"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Cumulative %</w:t>
            </w:r>
          </w:p>
        </w:tc>
        <w:tc>
          <w:tcPr>
            <w:tcW w:w="320"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Total</w:t>
            </w:r>
          </w:p>
        </w:tc>
        <w:tc>
          <w:tcPr>
            <w:tcW w:w="503" w:type="pct"/>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 of Variance</w:t>
            </w:r>
          </w:p>
        </w:tc>
        <w:tc>
          <w:tcPr>
            <w:tcW w:w="546" w:type="pct"/>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Cumulative %</w:t>
            </w:r>
          </w:p>
        </w:tc>
      </w:tr>
      <w:tr w:rsidR="00EA1875" w:rsidRPr="00594965" w:rsidTr="00C24E70">
        <w:trPr>
          <w:cantSplit/>
          <w:tblHeader/>
        </w:trPr>
        <w:tc>
          <w:tcPr>
            <w:tcW w:w="301"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w:t>
            </w:r>
          </w:p>
        </w:tc>
        <w:tc>
          <w:tcPr>
            <w:tcW w:w="597"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8.882</w:t>
            </w:r>
          </w:p>
        </w:tc>
        <w:tc>
          <w:tcPr>
            <w:tcW w:w="697"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63.445</w:t>
            </w:r>
          </w:p>
        </w:tc>
        <w:tc>
          <w:tcPr>
            <w:tcW w:w="615"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63.445</w:t>
            </w:r>
          </w:p>
        </w:tc>
        <w:tc>
          <w:tcPr>
            <w:tcW w:w="413"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8.882</w:t>
            </w:r>
          </w:p>
        </w:tc>
        <w:tc>
          <w:tcPr>
            <w:tcW w:w="503"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63.445</w:t>
            </w:r>
          </w:p>
        </w:tc>
        <w:tc>
          <w:tcPr>
            <w:tcW w:w="506"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63.445</w:t>
            </w:r>
          </w:p>
        </w:tc>
        <w:tc>
          <w:tcPr>
            <w:tcW w:w="320"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6.976</w:t>
            </w:r>
          </w:p>
        </w:tc>
        <w:tc>
          <w:tcPr>
            <w:tcW w:w="503" w:type="pct"/>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49.829</w:t>
            </w:r>
          </w:p>
        </w:tc>
        <w:tc>
          <w:tcPr>
            <w:tcW w:w="546"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49.829</w:t>
            </w: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1.702</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12.154</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75.599</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1.702</w:t>
            </w: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12.154</w:t>
            </w: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75.599</w:t>
            </w: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3.495</w:t>
            </w: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24.967</w:t>
            </w: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74.796</w:t>
            </w: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3</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1.561</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11.151</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86.750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1.561</w:t>
            </w: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11.151</w:t>
            </w: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86.750</w:t>
            </w: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1.674</w:t>
            </w: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11.954</w:t>
            </w: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86.750</w:t>
            </w: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4</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0</w:t>
            </w:r>
            <w:r w:rsidRPr="00DB4EF0">
              <w:rPr>
                <w:rFonts w:ascii="TimesNewRomanPSMT" w:hAnsi="TimesNewRomanPSMT" w:cs="TimesNewRomanPSMT"/>
                <w:sz w:val="20"/>
                <w:szCs w:val="20"/>
              </w:rPr>
              <w:t>.992</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7.086</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93.836</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5</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0</w:t>
            </w:r>
            <w:r w:rsidRPr="00DB4EF0">
              <w:rPr>
                <w:rFonts w:ascii="TimesNewRomanPSMT" w:hAnsi="TimesNewRomanPSMT" w:cs="TimesNewRomanPSMT"/>
                <w:sz w:val="20"/>
                <w:szCs w:val="20"/>
              </w:rPr>
              <w:t>.488</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3.484</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97.320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Pr>
                <w:rFonts w:ascii="TimesNewRomanPSMT" w:hAnsi="TimesNewRomanPSMT" w:cs="TimesNewRomanPSMT"/>
                <w:sz w:val="20"/>
                <w:szCs w:val="20"/>
              </w:rPr>
              <w:t>0</w:t>
            </w:r>
            <w:r w:rsidRPr="00DB4EF0">
              <w:rPr>
                <w:rFonts w:ascii="TimesNewRomanPSMT" w:hAnsi="TimesNewRomanPSMT" w:cs="TimesNewRomanPSMT"/>
                <w:sz w:val="20"/>
                <w:szCs w:val="20"/>
              </w:rPr>
              <w:t>.375</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2.680</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7</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6.308E-16</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4.506E-15</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2.785E-16</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1.989E-15</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9</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2.045E-16</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1.461E-15</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6.190E-17</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4.422E-16</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11</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-7.033E-17</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-5.024E-16</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12</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-1.197E-16</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-8.548E-16</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13</w:t>
            </w:r>
          </w:p>
        </w:tc>
        <w:tc>
          <w:tcPr>
            <w:tcW w:w="597" w:type="pct"/>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-2.089E-16</w:t>
            </w:r>
          </w:p>
        </w:tc>
        <w:tc>
          <w:tcPr>
            <w:tcW w:w="697"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-1.492E-15</w:t>
            </w:r>
          </w:p>
        </w:tc>
        <w:tc>
          <w:tcPr>
            <w:tcW w:w="615"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C24E70">
        <w:trPr>
          <w:cantSplit/>
          <w:tblHeader/>
        </w:trPr>
        <w:tc>
          <w:tcPr>
            <w:tcW w:w="301"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14</w:t>
            </w:r>
          </w:p>
        </w:tc>
        <w:tc>
          <w:tcPr>
            <w:tcW w:w="597"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-3.859E-16</w:t>
            </w:r>
          </w:p>
        </w:tc>
        <w:tc>
          <w:tcPr>
            <w:tcW w:w="697"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-2.756E-15</w:t>
            </w:r>
          </w:p>
        </w:tc>
        <w:tc>
          <w:tcPr>
            <w:tcW w:w="615"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r w:rsidRPr="00DB4EF0">
              <w:rPr>
                <w:rFonts w:ascii="TimesNewRomanPSMT" w:hAnsi="TimesNewRomanPSMT" w:cs="TimesNewRomanPSMT"/>
                <w:sz w:val="20"/>
                <w:szCs w:val="20"/>
              </w:rPr>
              <w:t>100.000</w:t>
            </w:r>
          </w:p>
        </w:tc>
        <w:tc>
          <w:tcPr>
            <w:tcW w:w="413"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6"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320"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03" w:type="pct"/>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c>
          <w:tcPr>
            <w:tcW w:w="546"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rFonts w:ascii="TimesNewRomanPSMT" w:hAnsi="TimesNewRomanPSMT" w:cs="TimesNewRomanPSMT"/>
                <w:sz w:val="20"/>
                <w:szCs w:val="20"/>
              </w:rPr>
            </w:pPr>
          </w:p>
        </w:tc>
      </w:tr>
      <w:tr w:rsidR="00EA1875" w:rsidRPr="00594965" w:rsidTr="005F7C78">
        <w:trPr>
          <w:cantSplit/>
        </w:trPr>
        <w:tc>
          <w:tcPr>
            <w:tcW w:w="5000" w:type="pct"/>
            <w:gridSpan w:val="10"/>
            <w:tcBorders>
              <w:top w:val="nil"/>
              <w:left w:val="nil"/>
              <w:bottom w:val="nil"/>
              <w:right w:val="nil"/>
            </w:tcBorders>
            <w:shd w:val="clear" w:color="auto" w:fill="FFFFFF"/>
            <w:tcMar>
              <w:top w:w="30" w:type="dxa"/>
              <w:left w:w="30" w:type="dxa"/>
              <w:bottom w:w="30" w:type="dxa"/>
              <w:right w:w="30" w:type="dxa"/>
            </w:tcMar>
          </w:tcPr>
          <w:p w:rsidR="00EA1875" w:rsidRPr="00DB4EF0" w:rsidRDefault="00EA1875" w:rsidP="00562213">
            <w:pPr>
              <w:pStyle w:val="tablelegend"/>
              <w:spacing w:before="0"/>
            </w:pPr>
            <w:r w:rsidRPr="00DB4EF0">
              <w:t>Extraction Method: Principal Component Analysis.</w:t>
            </w:r>
          </w:p>
        </w:tc>
      </w:tr>
    </w:tbl>
    <w:p w:rsidR="00EA1875" w:rsidRDefault="00EA1875" w:rsidP="00562213">
      <w:pPr>
        <w:autoSpaceDE w:val="0"/>
        <w:autoSpaceDN w:val="0"/>
        <w:adjustRightInd w:val="0"/>
        <w:ind w:firstLine="708"/>
        <w:jc w:val="both"/>
      </w:pPr>
      <w:r w:rsidRPr="00F2685F">
        <w:rPr>
          <w:color w:val="000000"/>
        </w:rPr>
        <w:t>The first factor (F1) explained 49.829% of the total variance and was strong positive loading EC, TDS, Ca, SO</w:t>
      </w:r>
      <w:r w:rsidRPr="00F2685F">
        <w:rPr>
          <w:color w:val="000000"/>
          <w:vertAlign w:val="subscript"/>
        </w:rPr>
        <w:t>4</w:t>
      </w:r>
      <w:r w:rsidRPr="00F2685F">
        <w:rPr>
          <w:color w:val="000000"/>
        </w:rPr>
        <w:t>, TH, Fe, FC, NO</w:t>
      </w:r>
      <w:r w:rsidRPr="00587D46">
        <w:rPr>
          <w:color w:val="000000"/>
          <w:vertAlign w:val="subscript"/>
        </w:rPr>
        <w:t>3</w:t>
      </w:r>
      <w:r w:rsidRPr="00F2685F">
        <w:rPr>
          <w:color w:val="000000"/>
        </w:rPr>
        <w:t xml:space="preserve"> and BOD; moderate positive loading Mg  and</w:t>
      </w:r>
      <w:r>
        <w:rPr>
          <w:color w:val="000000"/>
        </w:rPr>
        <w:t xml:space="preserve"> Cl</w:t>
      </w:r>
      <w:r w:rsidRPr="00F2685F">
        <w:rPr>
          <w:color w:val="000000"/>
        </w:rPr>
        <w:t>.</w:t>
      </w:r>
      <w:r>
        <w:rPr>
          <w:color w:val="000000"/>
        </w:rPr>
        <w:t xml:space="preserve"> </w:t>
      </w:r>
      <w:r w:rsidRPr="00E578BA">
        <w:t xml:space="preserve">The contribution to different sources can be from the anthropogenic stresses like </w:t>
      </w:r>
      <w:r>
        <w:t xml:space="preserve">urban, industrial activities </w:t>
      </w:r>
      <w:r w:rsidRPr="00E578BA">
        <w:t>which carry domestic and industrial wastewater of the city. Based on the presence of different constituents in the</w:t>
      </w:r>
      <w:r>
        <w:br/>
      </w:r>
    </w:p>
    <w:p w:rsidR="00EA1875" w:rsidRDefault="00EA1875" w:rsidP="007B3F64">
      <w:pPr>
        <w:autoSpaceDE w:val="0"/>
        <w:autoSpaceDN w:val="0"/>
        <w:adjustRightInd w:val="0"/>
        <w:jc w:val="both"/>
      </w:pPr>
      <w:r w:rsidRPr="00E578BA">
        <w:t xml:space="preserve"> factors extracted, the latter can be associated with different sources. The first factor </w:t>
      </w:r>
      <w:r>
        <w:t xml:space="preserve">(F1) </w:t>
      </w:r>
      <w:r w:rsidRPr="00E578BA">
        <w:t xml:space="preserve">has contribution from sources which can be linked to </w:t>
      </w:r>
      <w:r>
        <w:t xml:space="preserve">point source pollution from domestic and industrial waste and nonpoint source pollution from agricultural activities. </w:t>
      </w:r>
      <w:r w:rsidRPr="00E578BA">
        <w:t>The domestic and industrial wastes contain heavy metals and their signature is evident from the higher loadings of Fe in the Factor 1. This factor also invariably indicated that the TDS in the river was mostly contributed by the TH.</w:t>
      </w:r>
      <w:r>
        <w:t xml:space="preserve"> </w:t>
      </w:r>
      <w:r w:rsidRPr="00E578BA">
        <w:t>The association of EC was known for obvious reasons.</w:t>
      </w:r>
      <w:r>
        <w:t xml:space="preserve"> F1 has strong </w:t>
      </w:r>
      <w:r w:rsidRPr="00F2685F">
        <w:rPr>
          <w:color w:val="000000"/>
        </w:rPr>
        <w:t>positive</w:t>
      </w:r>
      <w:r>
        <w:t xml:space="preserve"> loading with </w:t>
      </w:r>
      <w:r w:rsidRPr="009456B3">
        <w:t>FC</w:t>
      </w:r>
      <w:r>
        <w:t xml:space="preserve"> (0</w:t>
      </w:r>
      <w:r w:rsidRPr="001621B3">
        <w:t>.885)</w:t>
      </w:r>
      <w:r w:rsidRPr="009456B3">
        <w:t>, which represents microorganisms, F</w:t>
      </w:r>
      <w:r>
        <w:t>1</w:t>
      </w:r>
      <w:r w:rsidRPr="009456B3">
        <w:t xml:space="preserve"> may invol</w:t>
      </w:r>
      <w:r>
        <w:t xml:space="preserve">ve an urban origin, where waste </w:t>
      </w:r>
      <w:r w:rsidRPr="009456B3">
        <w:t>disposal from populated areas increases fecal contents in the affected waters</w:t>
      </w:r>
      <w:r>
        <w:t xml:space="preserve"> (Arzu et al. </w:t>
      </w:r>
      <w:r w:rsidRPr="009456B3">
        <w:t>2008).</w:t>
      </w:r>
      <w:r>
        <w:t xml:space="preserve"> </w:t>
      </w:r>
      <w:r w:rsidRPr="00E578BA">
        <w:t xml:space="preserve">The contribution to Factor 1 is from anthropogenic </w:t>
      </w:r>
      <w:r w:rsidRPr="00587D46">
        <w:t>influences</w:t>
      </w:r>
      <w:r>
        <w:t xml:space="preserve">. </w:t>
      </w:r>
      <w:r w:rsidRPr="00587D46">
        <w:t xml:space="preserve">This factor assigned as the </w:t>
      </w:r>
      <w:r w:rsidRPr="00E578BA">
        <w:t xml:space="preserve">anthropogenic </w:t>
      </w:r>
      <w:r w:rsidRPr="00587D46">
        <w:t>factor.</w:t>
      </w:r>
    </w:p>
    <w:p w:rsidR="00EA1875" w:rsidRPr="002A4E77" w:rsidRDefault="00EA1875" w:rsidP="00562213">
      <w:pPr>
        <w:autoSpaceDE w:val="0"/>
        <w:autoSpaceDN w:val="0"/>
        <w:adjustRightInd w:val="0"/>
        <w:rPr>
          <w:color w:val="000000"/>
        </w:rPr>
      </w:pPr>
    </w:p>
    <w:p w:rsidR="00EA1875" w:rsidRPr="00C2517E" w:rsidRDefault="00EA1875" w:rsidP="00562213">
      <w:pPr>
        <w:pStyle w:val="tablelegend"/>
        <w:spacing w:before="0"/>
        <w:jc w:val="center"/>
        <w:rPr>
          <w:sz w:val="22"/>
          <w:szCs w:val="22"/>
        </w:rPr>
      </w:pPr>
      <w:r w:rsidRPr="00C2517E">
        <w:rPr>
          <w:sz w:val="22"/>
          <w:szCs w:val="22"/>
        </w:rPr>
        <w:t>Table 4 Factor loadings (Varimax rotation) rotated component matrix</w:t>
      </w:r>
    </w:p>
    <w:tbl>
      <w:tblPr>
        <w:tblW w:w="4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61"/>
        <w:gridCol w:w="1010"/>
        <w:gridCol w:w="1009"/>
        <w:gridCol w:w="1010"/>
      </w:tblGrid>
      <w:tr w:rsidR="00EA1875" w:rsidRPr="00594965" w:rsidTr="00DB3613">
        <w:trPr>
          <w:cantSplit/>
          <w:tblHeader/>
          <w:jc w:val="center"/>
        </w:trPr>
        <w:tc>
          <w:tcPr>
            <w:tcW w:w="106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594965" w:rsidRDefault="00EA1875" w:rsidP="00562213">
            <w:pPr>
              <w:autoSpaceDE w:val="0"/>
              <w:autoSpaceDN w:val="0"/>
              <w:adjustRightInd w:val="0"/>
            </w:pPr>
          </w:p>
        </w:tc>
        <w:tc>
          <w:tcPr>
            <w:tcW w:w="3029"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Component</w:t>
            </w:r>
          </w:p>
        </w:tc>
      </w:tr>
      <w:tr w:rsidR="00EA1875" w:rsidRPr="00594965" w:rsidTr="00DB3613">
        <w:trPr>
          <w:cantSplit/>
          <w:tblHeader/>
          <w:jc w:val="center"/>
        </w:trPr>
        <w:tc>
          <w:tcPr>
            <w:tcW w:w="106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Parameters</w:t>
            </w:r>
          </w:p>
        </w:tc>
        <w:tc>
          <w:tcPr>
            <w:tcW w:w="1010"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F1</w:t>
            </w:r>
          </w:p>
        </w:tc>
        <w:tc>
          <w:tcPr>
            <w:tcW w:w="1009" w:type="dxa"/>
            <w:tcBorders>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F2</w:t>
            </w:r>
          </w:p>
        </w:tc>
        <w:tc>
          <w:tcPr>
            <w:tcW w:w="1010"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F3</w:t>
            </w:r>
          </w:p>
        </w:tc>
      </w:tr>
      <w:tr w:rsidR="00EA1875" w:rsidRPr="00594965" w:rsidTr="00DB3613">
        <w:trPr>
          <w:cantSplit/>
          <w:tblHeader/>
          <w:jc w:val="center"/>
        </w:trPr>
        <w:tc>
          <w:tcPr>
            <w:tcW w:w="106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pH</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.070</w:t>
            </w:r>
          </w:p>
        </w:tc>
        <w:tc>
          <w:tcPr>
            <w:tcW w:w="1009" w:type="dxa"/>
            <w:tcBorders>
              <w:top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.089</w:t>
            </w:r>
          </w:p>
        </w:tc>
        <w:tc>
          <w:tcPr>
            <w:tcW w:w="10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.895</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TRB</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.306</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.919</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w:t>
            </w:r>
            <w:r>
              <w:rPr>
                <w:sz w:val="20"/>
                <w:szCs w:val="20"/>
              </w:rPr>
              <w:t>0</w:t>
            </w:r>
            <w:r w:rsidRPr="00DB4EF0">
              <w:rPr>
                <w:sz w:val="20"/>
                <w:szCs w:val="20"/>
              </w:rPr>
              <w:t>.011</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TA</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.022</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.820</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.138</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TH</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.856</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.283</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.349</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EC</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.802</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.504</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.282</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TDS</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.837</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.167</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.425</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Cl</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.560</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.708</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.186</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Ca</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.846</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.293</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w:t>
            </w:r>
            <w:r>
              <w:rPr>
                <w:sz w:val="20"/>
                <w:szCs w:val="20"/>
              </w:rPr>
              <w:t>0</w:t>
            </w:r>
            <w:r w:rsidRPr="00DB4EF0">
              <w:rPr>
                <w:sz w:val="20"/>
                <w:szCs w:val="20"/>
              </w:rPr>
              <w:t>.159</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Mg</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.459</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.718</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w:t>
            </w:r>
            <w:r>
              <w:rPr>
                <w:sz w:val="20"/>
                <w:szCs w:val="20"/>
              </w:rPr>
              <w:t>0</w:t>
            </w:r>
            <w:r w:rsidRPr="00DB4EF0">
              <w:rPr>
                <w:sz w:val="20"/>
                <w:szCs w:val="20"/>
              </w:rPr>
              <w:t>.477</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SO4</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.818</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.361</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w:t>
            </w:r>
            <w:r>
              <w:rPr>
                <w:sz w:val="20"/>
                <w:szCs w:val="20"/>
              </w:rPr>
              <w:t>0</w:t>
            </w:r>
            <w:r w:rsidRPr="00DB4EF0">
              <w:rPr>
                <w:sz w:val="20"/>
                <w:szCs w:val="20"/>
              </w:rPr>
              <w:t>.240</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Fe</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.862</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.260</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w:t>
            </w:r>
            <w:r>
              <w:rPr>
                <w:sz w:val="20"/>
                <w:szCs w:val="20"/>
              </w:rPr>
              <w:t>0</w:t>
            </w:r>
            <w:r w:rsidRPr="00DB4EF0">
              <w:rPr>
                <w:sz w:val="20"/>
                <w:szCs w:val="20"/>
              </w:rPr>
              <w:t>.034</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NO3</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.859</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.090</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.184</w:t>
            </w:r>
          </w:p>
        </w:tc>
      </w:tr>
      <w:tr w:rsidR="00EA1875" w:rsidRPr="00594965" w:rsidTr="00DB3613">
        <w:trPr>
          <w:cantSplit/>
          <w:tblHeader/>
          <w:jc w:val="center"/>
        </w:trPr>
        <w:tc>
          <w:tcPr>
            <w:tcW w:w="106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BOD</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.791</w:t>
            </w:r>
          </w:p>
        </w:tc>
        <w:tc>
          <w:tcPr>
            <w:tcW w:w="1009" w:type="dxa"/>
            <w:tcBorders>
              <w:top w:val="nil"/>
              <w:bottom w:val="nil"/>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.539</w:t>
            </w:r>
          </w:p>
        </w:tc>
        <w:tc>
          <w:tcPr>
            <w:tcW w:w="1010" w:type="dxa"/>
            <w:tcBorders>
              <w:top w:val="nil"/>
              <w:bottom w:val="nil"/>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.100</w:t>
            </w:r>
          </w:p>
        </w:tc>
      </w:tr>
      <w:tr w:rsidR="00EA1875" w:rsidRPr="00594965" w:rsidTr="00DB3613">
        <w:trPr>
          <w:cantSplit/>
          <w:tblHeader/>
          <w:jc w:val="center"/>
        </w:trPr>
        <w:tc>
          <w:tcPr>
            <w:tcW w:w="106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FC</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.885</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Pr>
                <w:sz w:val="20"/>
                <w:szCs w:val="20"/>
              </w:rPr>
              <w:t>0</w:t>
            </w:r>
            <w:r w:rsidRPr="00DB4EF0">
              <w:rPr>
                <w:sz w:val="20"/>
                <w:szCs w:val="20"/>
              </w:rPr>
              <w:t>.088</w:t>
            </w:r>
          </w:p>
        </w:tc>
        <w:tc>
          <w:tcPr>
            <w:tcW w:w="10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A1875" w:rsidRPr="00DB4EF0" w:rsidRDefault="00EA1875" w:rsidP="00562213">
            <w:pPr>
              <w:autoSpaceDE w:val="0"/>
              <w:autoSpaceDN w:val="0"/>
              <w:adjustRightInd w:val="0"/>
              <w:jc w:val="center"/>
              <w:rPr>
                <w:sz w:val="20"/>
                <w:szCs w:val="20"/>
              </w:rPr>
            </w:pPr>
            <w:r w:rsidRPr="00DB4EF0">
              <w:rPr>
                <w:sz w:val="20"/>
                <w:szCs w:val="20"/>
              </w:rPr>
              <w:t>-</w:t>
            </w:r>
            <w:r>
              <w:rPr>
                <w:sz w:val="20"/>
                <w:szCs w:val="20"/>
              </w:rPr>
              <w:t>0</w:t>
            </w:r>
            <w:r w:rsidRPr="00DB4EF0">
              <w:rPr>
                <w:sz w:val="20"/>
                <w:szCs w:val="20"/>
              </w:rPr>
              <w:t>.285</w:t>
            </w:r>
          </w:p>
        </w:tc>
      </w:tr>
    </w:tbl>
    <w:p w:rsidR="00EA1875" w:rsidRPr="00C2517E" w:rsidRDefault="00EA1875" w:rsidP="00562213">
      <w:pPr>
        <w:autoSpaceDE w:val="0"/>
        <w:autoSpaceDN w:val="0"/>
        <w:adjustRightInd w:val="0"/>
        <w:jc w:val="center"/>
        <w:rPr>
          <w:sz w:val="20"/>
          <w:szCs w:val="20"/>
        </w:rPr>
      </w:pPr>
      <w:r w:rsidRPr="00C2517E">
        <w:rPr>
          <w:sz w:val="20"/>
          <w:szCs w:val="20"/>
        </w:rPr>
        <w:t>Extraction method: Principal component analysis. Rotation method: Varimax with Kaiser Normalization, a Rotation converged in four iterations</w:t>
      </w:r>
    </w:p>
    <w:p w:rsidR="00EA1875" w:rsidRPr="00DB4EF0" w:rsidRDefault="00EA1875" w:rsidP="00562213">
      <w:pPr>
        <w:autoSpaceDE w:val="0"/>
        <w:autoSpaceDN w:val="0"/>
        <w:adjustRightInd w:val="0"/>
        <w:rPr>
          <w:sz w:val="18"/>
          <w:szCs w:val="18"/>
        </w:rPr>
      </w:pPr>
    </w:p>
    <w:p w:rsidR="00EA1875" w:rsidRPr="00DB4EF0" w:rsidRDefault="00EA1875" w:rsidP="00562213">
      <w:pPr>
        <w:autoSpaceDE w:val="0"/>
        <w:autoSpaceDN w:val="0"/>
        <w:adjustRightInd w:val="0"/>
        <w:rPr>
          <w:sz w:val="18"/>
          <w:szCs w:val="18"/>
        </w:rPr>
      </w:pPr>
    </w:p>
    <w:p w:rsidR="00EA1875" w:rsidRDefault="00EA1875" w:rsidP="00562213">
      <w:pPr>
        <w:autoSpaceDE w:val="0"/>
        <w:autoSpaceDN w:val="0"/>
        <w:adjustRightInd w:val="0"/>
        <w:ind w:firstLine="708"/>
        <w:jc w:val="both"/>
        <w:rPr>
          <w:color w:val="000000"/>
        </w:rPr>
      </w:pPr>
      <w:r>
        <w:t xml:space="preserve">The second factor F2 </w:t>
      </w:r>
      <w:r w:rsidRPr="00F2685F">
        <w:rPr>
          <w:color w:val="000000"/>
        </w:rPr>
        <w:t xml:space="preserve">explained </w:t>
      </w:r>
      <w:r w:rsidRPr="004F5A77">
        <w:rPr>
          <w:color w:val="000000"/>
        </w:rPr>
        <w:t>24.967</w:t>
      </w:r>
      <w:r w:rsidRPr="00F2685F">
        <w:rPr>
          <w:color w:val="000000"/>
        </w:rPr>
        <w:t xml:space="preserve">% of the total variance and was strong positive loading </w:t>
      </w:r>
      <w:r>
        <w:rPr>
          <w:color w:val="000000"/>
        </w:rPr>
        <w:t>TBR and</w:t>
      </w:r>
      <w:r w:rsidRPr="00F2685F">
        <w:rPr>
          <w:color w:val="000000"/>
        </w:rPr>
        <w:t xml:space="preserve"> </w:t>
      </w:r>
      <w:r>
        <w:rPr>
          <w:color w:val="000000"/>
        </w:rPr>
        <w:t>TA</w:t>
      </w:r>
      <w:r w:rsidRPr="00F2685F">
        <w:rPr>
          <w:color w:val="000000"/>
        </w:rPr>
        <w:t xml:space="preserve">; moderate positive loading </w:t>
      </w:r>
      <w:r>
        <w:rPr>
          <w:color w:val="000000"/>
        </w:rPr>
        <w:t>Mg, Cl and BOD</w:t>
      </w:r>
      <w:r w:rsidRPr="00F2685F">
        <w:rPr>
          <w:color w:val="000000"/>
        </w:rPr>
        <w:t>.</w:t>
      </w:r>
      <w:r>
        <w:rPr>
          <w:color w:val="000000"/>
        </w:rPr>
        <w:t xml:space="preserve"> </w:t>
      </w:r>
      <w:r w:rsidRPr="008458A9">
        <w:rPr>
          <w:color w:val="000000"/>
        </w:rPr>
        <w:t xml:space="preserve">This factor is linked with the </w:t>
      </w:r>
      <w:r>
        <w:rPr>
          <w:color w:val="000000"/>
        </w:rPr>
        <w:t xml:space="preserve">agricultural activities, municipal wastewater, </w:t>
      </w:r>
      <w:r w:rsidRPr="008458A9">
        <w:rPr>
          <w:color w:val="000000"/>
        </w:rPr>
        <w:t xml:space="preserve">erosion effect </w:t>
      </w:r>
      <w:r>
        <w:rPr>
          <w:color w:val="000000"/>
        </w:rPr>
        <w:t xml:space="preserve">which </w:t>
      </w:r>
      <w:r w:rsidRPr="008458A9">
        <w:rPr>
          <w:color w:val="000000"/>
        </w:rPr>
        <w:t xml:space="preserve">occurs during cultivation of soil and </w:t>
      </w:r>
      <w:r>
        <w:rPr>
          <w:color w:val="000000"/>
        </w:rPr>
        <w:t xml:space="preserve">heavy rainfall </w:t>
      </w:r>
      <w:r w:rsidRPr="008458A9">
        <w:rPr>
          <w:color w:val="000000"/>
        </w:rPr>
        <w:t>from upland areas</w:t>
      </w:r>
      <w:r>
        <w:rPr>
          <w:color w:val="000000"/>
        </w:rPr>
        <w:t xml:space="preserve"> (</w:t>
      </w:r>
      <w:r w:rsidRPr="008F392A">
        <w:t>Mutlak</w:t>
      </w:r>
      <w:r>
        <w:t xml:space="preserve"> et al. 1980)</w:t>
      </w:r>
      <w:r w:rsidRPr="008458A9">
        <w:rPr>
          <w:color w:val="000000"/>
        </w:rPr>
        <w:t>.</w:t>
      </w:r>
      <w:r>
        <w:rPr>
          <w:color w:val="000000"/>
        </w:rPr>
        <w:t xml:space="preserve"> </w:t>
      </w:r>
      <w:r w:rsidRPr="008458A9">
        <w:rPr>
          <w:color w:val="000000"/>
        </w:rPr>
        <w:t xml:space="preserve">The third factor (F3), explaining the lowest variance (11.954%), has </w:t>
      </w:r>
      <w:r w:rsidRPr="00F2685F">
        <w:rPr>
          <w:color w:val="000000"/>
        </w:rPr>
        <w:t xml:space="preserve">strong positive </w:t>
      </w:r>
      <w:r w:rsidRPr="008458A9">
        <w:rPr>
          <w:color w:val="000000"/>
        </w:rPr>
        <w:t>loadings on pH</w:t>
      </w:r>
      <w:r>
        <w:rPr>
          <w:color w:val="000000"/>
        </w:rPr>
        <w:t>.</w:t>
      </w:r>
    </w:p>
    <w:p w:rsidR="00EA1875" w:rsidRDefault="00EA1875" w:rsidP="00562213">
      <w:pPr>
        <w:autoSpaceDE w:val="0"/>
        <w:autoSpaceDN w:val="0"/>
        <w:adjustRightInd w:val="0"/>
        <w:jc w:val="both"/>
        <w:rPr>
          <w:color w:val="000000"/>
        </w:rPr>
      </w:pPr>
      <w:r w:rsidRPr="00EC1D58">
        <w:rPr>
          <w:color w:val="000000"/>
        </w:rPr>
        <w:t xml:space="preserve">From the factor analysis results it can be concluded that, three factors representing three different processes are: anthropogenic factor, </w:t>
      </w:r>
      <w:r w:rsidRPr="008458A9">
        <w:rPr>
          <w:color w:val="000000"/>
        </w:rPr>
        <w:t xml:space="preserve">erosion </w:t>
      </w:r>
      <w:r>
        <w:rPr>
          <w:color w:val="000000"/>
        </w:rPr>
        <w:t xml:space="preserve">and </w:t>
      </w:r>
      <w:r w:rsidRPr="008458A9">
        <w:rPr>
          <w:color w:val="000000"/>
        </w:rPr>
        <w:t xml:space="preserve">rainfall </w:t>
      </w:r>
      <w:r>
        <w:rPr>
          <w:color w:val="000000"/>
        </w:rPr>
        <w:t>factor and pH factor</w:t>
      </w:r>
      <w:r w:rsidRPr="00EC1D58">
        <w:rPr>
          <w:color w:val="000000"/>
        </w:rPr>
        <w:t>.</w:t>
      </w:r>
    </w:p>
    <w:p w:rsidR="00EA1875" w:rsidRPr="00A879C3" w:rsidRDefault="00EA1875" w:rsidP="00562213">
      <w:pPr>
        <w:pStyle w:val="heading3"/>
        <w:spacing w:before="0" w:after="0"/>
        <w:rPr>
          <w:color w:val="000000"/>
        </w:rPr>
      </w:pPr>
      <w:r>
        <w:t>Cluster</w:t>
      </w:r>
      <w:r w:rsidRPr="0052084B">
        <w:t xml:space="preserve"> analysis</w:t>
      </w:r>
    </w:p>
    <w:p w:rsidR="00EA1875" w:rsidRPr="002E4585" w:rsidRDefault="00EA1875" w:rsidP="00562213">
      <w:pPr>
        <w:autoSpaceDE w:val="0"/>
        <w:autoSpaceDN w:val="0"/>
        <w:adjustRightInd w:val="0"/>
        <w:ind w:firstLine="708"/>
        <w:jc w:val="both"/>
        <w:rPr>
          <w:color w:val="000000"/>
        </w:rPr>
      </w:pPr>
      <w:r w:rsidRPr="00C43892">
        <w:rPr>
          <w:color w:val="000000"/>
        </w:rPr>
        <w:t xml:space="preserve">In this study sampling site classification was performed by the use of cluster analysis (z-transformation of the input data, squared Euclidean distance as similarity </w:t>
      </w:r>
      <w:r>
        <w:rPr>
          <w:color w:val="000000"/>
        </w:rPr>
        <w:t xml:space="preserve">measure </w:t>
      </w:r>
      <w:r w:rsidRPr="00FF176E">
        <w:rPr>
          <w:color w:val="000000"/>
        </w:rPr>
        <w:t>and Ward’s method of linkage</w:t>
      </w:r>
      <w:r w:rsidRPr="00C43892">
        <w:rPr>
          <w:color w:val="000000"/>
        </w:rPr>
        <w:t>).</w:t>
      </w:r>
      <w:r w:rsidRPr="00FF176E">
        <w:rPr>
          <w:color w:val="000000"/>
        </w:rPr>
        <w:t xml:space="preserve"> The results of cluster analysis CA are presented in a dendrogram (Fig. 3).</w:t>
      </w:r>
      <w:r w:rsidRPr="00C43892">
        <w:rPr>
          <w:color w:val="000000"/>
        </w:rPr>
        <w:t xml:space="preserve"> </w:t>
      </w:r>
      <w:r w:rsidRPr="002E4585">
        <w:rPr>
          <w:color w:val="000000"/>
        </w:rPr>
        <w:t>Dendograms in cluster analysis provides a useful graphical tool determining the number of clusters which describe underlying process that lead to spatial variation</w:t>
      </w:r>
      <w:r>
        <w:rPr>
          <w:color w:val="000000"/>
        </w:rPr>
        <w:t xml:space="preserve"> (</w:t>
      </w:r>
      <w:r>
        <w:rPr>
          <w:color w:val="141314"/>
        </w:rPr>
        <w:t>Boyacioglu, &amp;</w:t>
      </w:r>
      <w:r w:rsidRPr="00D16381">
        <w:rPr>
          <w:color w:val="141314"/>
        </w:rPr>
        <w:t xml:space="preserve"> Boy</w:t>
      </w:r>
      <w:r>
        <w:rPr>
          <w:color w:val="141314"/>
        </w:rPr>
        <w:t>acioglu 2007)</w:t>
      </w:r>
      <w:r w:rsidRPr="002E4585">
        <w:rPr>
          <w:color w:val="000000"/>
        </w:rPr>
        <w:t>.</w:t>
      </w:r>
    </w:p>
    <w:p w:rsidR="00EA1875" w:rsidRDefault="00EA1875" w:rsidP="00562213">
      <w:pPr>
        <w:autoSpaceDE w:val="0"/>
        <w:autoSpaceDN w:val="0"/>
        <w:adjustRightInd w:val="0"/>
        <w:rPr>
          <w:color w:val="000000"/>
        </w:rPr>
      </w:pPr>
    </w:p>
    <w:p w:rsidR="00EA1875" w:rsidRDefault="00EA1875" w:rsidP="00562213">
      <w:pPr>
        <w:autoSpaceDE w:val="0"/>
        <w:autoSpaceDN w:val="0"/>
        <w:adjustRightInd w:val="0"/>
        <w:jc w:val="center"/>
        <w:rPr>
          <w:color w:val="000000"/>
        </w:rPr>
      </w:pPr>
      <w:r w:rsidRPr="00C534D0">
        <w:rPr>
          <w:noProof/>
          <w:color w:val="000000"/>
        </w:rPr>
        <w:pict>
          <v:shape id="Picture 1" o:spid="_x0000_i1030" type="#_x0000_t75" alt="cluster dendogram" style="width:326.25pt;height:201.75pt;visibility:visible" o:bordertopcolor="black" o:borderleftcolor="black" o:borderbottomcolor="black" o:borderrightcolor="black">
            <v:imagedata r:id="rId14" o:title=""/>
            <w10:bordertop type="single" width="4"/>
            <w10:borderleft type="single" width="4"/>
            <w10:borderbottom type="single" width="4"/>
            <w10:borderright type="single" width="4"/>
          </v:shape>
        </w:pict>
      </w:r>
    </w:p>
    <w:p w:rsidR="00EA1875" w:rsidRPr="00C2517E" w:rsidRDefault="00EA1875" w:rsidP="00562213">
      <w:pPr>
        <w:pStyle w:val="figlegend"/>
        <w:spacing w:before="0"/>
        <w:rPr>
          <w:szCs w:val="20"/>
        </w:rPr>
      </w:pPr>
      <w:r w:rsidRPr="00C2517E">
        <w:rPr>
          <w:szCs w:val="20"/>
        </w:rPr>
        <w:t>Figure 3 Dendogram showing clustering of monitoring sites of Tigris River (The axis shown at the top indicates the relative similarity of different cluster groups. Lesser distance corresponds to greater similarity between samples)</w:t>
      </w:r>
    </w:p>
    <w:p w:rsidR="00EA1875" w:rsidRPr="00D77EF9" w:rsidRDefault="00EA1875" w:rsidP="00562213">
      <w:pPr>
        <w:autoSpaceDE w:val="0"/>
        <w:autoSpaceDN w:val="0"/>
        <w:adjustRightInd w:val="0"/>
        <w:rPr>
          <w:color w:val="131313"/>
          <w:sz w:val="22"/>
          <w:szCs w:val="22"/>
        </w:rPr>
      </w:pPr>
    </w:p>
    <w:p w:rsidR="00EA1875" w:rsidRDefault="00EA1875" w:rsidP="00562213">
      <w:pPr>
        <w:autoSpaceDE w:val="0"/>
        <w:autoSpaceDN w:val="0"/>
        <w:adjustRightInd w:val="0"/>
        <w:ind w:firstLine="708"/>
        <w:jc w:val="both"/>
        <w:rPr>
          <w:color w:val="000000"/>
        </w:rPr>
      </w:pPr>
      <w:r>
        <w:rPr>
          <w:color w:val="000000"/>
        </w:rPr>
        <w:t xml:space="preserve">Since we used hierarchical </w:t>
      </w:r>
      <w:r w:rsidRPr="00FA4C98">
        <w:rPr>
          <w:color w:val="000000"/>
        </w:rPr>
        <w:t xml:space="preserve">agglomerative cluster analysis, the number of clusters was decided by water environment quality, which is mainly effected by </w:t>
      </w:r>
      <w:r>
        <w:rPr>
          <w:color w:val="000000"/>
        </w:rPr>
        <w:t xml:space="preserve">types of </w:t>
      </w:r>
      <w:r w:rsidRPr="00FA4C98">
        <w:rPr>
          <w:color w:val="000000"/>
        </w:rPr>
        <w:t>land use and industrial structure. Based on the results of cluster analysis</w:t>
      </w:r>
      <w:r>
        <w:rPr>
          <w:color w:val="000000"/>
        </w:rPr>
        <w:t xml:space="preserve"> </w:t>
      </w:r>
      <w:r w:rsidRPr="00FA4C98">
        <w:rPr>
          <w:color w:val="000000"/>
        </w:rPr>
        <w:t xml:space="preserve">and locations of the </w:t>
      </w:r>
      <w:r>
        <w:rPr>
          <w:color w:val="000000"/>
        </w:rPr>
        <w:t>monitoring</w:t>
      </w:r>
      <w:r w:rsidRPr="00FA4C98">
        <w:rPr>
          <w:color w:val="000000"/>
        </w:rPr>
        <w:t xml:space="preserve"> sites, </w:t>
      </w:r>
      <w:r>
        <w:rPr>
          <w:color w:val="000000"/>
        </w:rPr>
        <w:t>it</w:t>
      </w:r>
      <w:r w:rsidRPr="00FA4C98">
        <w:rPr>
          <w:color w:val="000000"/>
        </w:rPr>
        <w:t xml:space="preserve"> can be concluded</w:t>
      </w:r>
      <w:r>
        <w:rPr>
          <w:color w:val="000000"/>
        </w:rPr>
        <w:t xml:space="preserve"> that </w:t>
      </w:r>
      <w:r w:rsidRPr="00C43892">
        <w:rPr>
          <w:color w:val="000000"/>
        </w:rPr>
        <w:t xml:space="preserve">three major groups were formed by </w:t>
      </w:r>
      <w:r>
        <w:rPr>
          <w:color w:val="000000"/>
        </w:rPr>
        <w:t>treating all data by clustering:</w:t>
      </w:r>
    </w:p>
    <w:p w:rsidR="00EA1875" w:rsidRDefault="00EA1875" w:rsidP="00562213">
      <w:pPr>
        <w:autoSpaceDE w:val="0"/>
        <w:autoSpaceDN w:val="0"/>
        <w:adjustRightInd w:val="0"/>
        <w:rPr>
          <w:color w:val="000000"/>
        </w:rPr>
      </w:pPr>
    </w:p>
    <w:p w:rsidR="00EA1875" w:rsidRDefault="00EA1875" w:rsidP="00562213">
      <w:pPr>
        <w:autoSpaceDE w:val="0"/>
        <w:autoSpaceDN w:val="0"/>
        <w:adjustRightInd w:val="0"/>
        <w:rPr>
          <w:i/>
          <w:iCs/>
          <w:color w:val="000000"/>
        </w:rPr>
      </w:pPr>
      <w:r w:rsidRPr="00AA530E">
        <w:rPr>
          <w:i/>
          <w:iCs/>
          <w:color w:val="000000"/>
        </w:rPr>
        <w:t>Cluster 1 (Stations 1 – 2 – 3)</w:t>
      </w:r>
    </w:p>
    <w:p w:rsidR="00EA1875" w:rsidRPr="000E3D6F" w:rsidRDefault="00EA1875" w:rsidP="00562213">
      <w:pPr>
        <w:autoSpaceDE w:val="0"/>
        <w:autoSpaceDN w:val="0"/>
        <w:adjustRightInd w:val="0"/>
        <w:ind w:firstLine="708"/>
        <w:jc w:val="both"/>
      </w:pPr>
      <w:r w:rsidRPr="000E3D6F">
        <w:t xml:space="preserve">Sites mainly located at the entrance of the river to Baghdad city. Cluster I </w:t>
      </w:r>
      <w:r w:rsidRPr="00E578BA">
        <w:t xml:space="preserve">showing </w:t>
      </w:r>
      <w:r>
        <w:t xml:space="preserve">reach that has </w:t>
      </w:r>
      <w:r w:rsidRPr="00E578BA">
        <w:t xml:space="preserve">least concentrations of </w:t>
      </w:r>
      <w:r>
        <w:t xml:space="preserve">almost </w:t>
      </w:r>
      <w:r w:rsidRPr="00E578BA">
        <w:t>all the variables includi</w:t>
      </w:r>
      <w:r>
        <w:t>ng the total dissolved solids. S1, S2 and S3</w:t>
      </w:r>
      <w:r w:rsidRPr="00E578BA">
        <w:t xml:space="preserve"> are located upstream of sewage and domestic wastes mixing zones and so no contamination was observed.</w:t>
      </w:r>
    </w:p>
    <w:p w:rsidR="00EA1875" w:rsidRPr="00FA4C98" w:rsidRDefault="00EA1875" w:rsidP="00562213">
      <w:pPr>
        <w:autoSpaceDE w:val="0"/>
        <w:autoSpaceDN w:val="0"/>
        <w:adjustRightInd w:val="0"/>
        <w:rPr>
          <w:color w:val="000000"/>
        </w:rPr>
      </w:pPr>
    </w:p>
    <w:p w:rsidR="00EA1875" w:rsidRDefault="00EA1875" w:rsidP="00562213">
      <w:pPr>
        <w:autoSpaceDE w:val="0"/>
        <w:autoSpaceDN w:val="0"/>
        <w:adjustRightInd w:val="0"/>
        <w:rPr>
          <w:i/>
          <w:iCs/>
          <w:color w:val="000000"/>
        </w:rPr>
      </w:pPr>
      <w:r w:rsidRPr="00AA530E">
        <w:rPr>
          <w:i/>
          <w:iCs/>
          <w:color w:val="000000"/>
        </w:rPr>
        <w:t>Cluster 1</w:t>
      </w:r>
      <w:r>
        <w:rPr>
          <w:i/>
          <w:iCs/>
          <w:color w:val="000000"/>
        </w:rPr>
        <w:t>I</w:t>
      </w:r>
      <w:r w:rsidRPr="00AA530E">
        <w:rPr>
          <w:i/>
          <w:iCs/>
          <w:color w:val="000000"/>
        </w:rPr>
        <w:t xml:space="preserve"> (Stations </w:t>
      </w:r>
      <w:r>
        <w:rPr>
          <w:i/>
          <w:iCs/>
          <w:color w:val="000000"/>
        </w:rPr>
        <w:t>4</w:t>
      </w:r>
      <w:r w:rsidRPr="00AA530E">
        <w:rPr>
          <w:i/>
          <w:iCs/>
          <w:color w:val="000000"/>
        </w:rPr>
        <w:t xml:space="preserve"> – </w:t>
      </w:r>
      <w:r>
        <w:rPr>
          <w:i/>
          <w:iCs/>
          <w:color w:val="000000"/>
        </w:rPr>
        <w:t>5</w:t>
      </w:r>
      <w:r w:rsidRPr="00AA530E">
        <w:rPr>
          <w:i/>
          <w:iCs/>
          <w:color w:val="000000"/>
        </w:rPr>
        <w:t xml:space="preserve"> – </w:t>
      </w:r>
      <w:r>
        <w:rPr>
          <w:i/>
          <w:iCs/>
          <w:color w:val="000000"/>
        </w:rPr>
        <w:t>7</w:t>
      </w:r>
      <w:r w:rsidRPr="00AA530E">
        <w:rPr>
          <w:i/>
          <w:iCs/>
          <w:color w:val="000000"/>
        </w:rPr>
        <w:t>)</w:t>
      </w:r>
    </w:p>
    <w:p w:rsidR="00EA1875" w:rsidRDefault="00EA1875" w:rsidP="00562213">
      <w:pPr>
        <w:autoSpaceDE w:val="0"/>
        <w:autoSpaceDN w:val="0"/>
        <w:adjustRightInd w:val="0"/>
        <w:ind w:firstLine="708"/>
        <w:jc w:val="both"/>
      </w:pPr>
      <w:r>
        <w:t>In t</w:t>
      </w:r>
      <w:r w:rsidRPr="003417DC">
        <w:t>his cluster</w:t>
      </w:r>
      <w:r>
        <w:t>,</w:t>
      </w:r>
      <w:r w:rsidRPr="003417DC">
        <w:t xml:space="preserve"> </w:t>
      </w:r>
      <w:r>
        <w:t>stations</w:t>
      </w:r>
      <w:r w:rsidRPr="003417DC">
        <w:t xml:space="preserve"> </w:t>
      </w:r>
      <w:r>
        <w:t xml:space="preserve">(4 and 5) </w:t>
      </w:r>
      <w:r w:rsidRPr="003417DC">
        <w:t xml:space="preserve">mainly located </w:t>
      </w:r>
      <w:r w:rsidRPr="00396726">
        <w:t xml:space="preserve">at </w:t>
      </w:r>
      <w:r>
        <w:t xml:space="preserve">the </w:t>
      </w:r>
      <w:r w:rsidRPr="00396726">
        <w:t xml:space="preserve">middle of the river and were grouped under Cluster II. These stations </w:t>
      </w:r>
      <w:r w:rsidRPr="00E578BA">
        <w:t xml:space="preserve">located </w:t>
      </w:r>
      <w:r>
        <w:t xml:space="preserve">downstream of </w:t>
      </w:r>
      <w:r w:rsidRPr="00E578BA">
        <w:t>sewage mixing zones</w:t>
      </w:r>
      <w:r>
        <w:t xml:space="preserve"> from medical city. </w:t>
      </w:r>
      <w:r w:rsidRPr="00396726">
        <w:t>In addition, Station 7 which located in south of Baghdad city, showed the similar water environment quality characteristics with these stations.</w:t>
      </w:r>
      <w:r>
        <w:t xml:space="preserve"> </w:t>
      </w:r>
    </w:p>
    <w:p w:rsidR="00EA1875" w:rsidRDefault="00EA1875" w:rsidP="00562213">
      <w:pPr>
        <w:autoSpaceDE w:val="0"/>
        <w:autoSpaceDN w:val="0"/>
        <w:adjustRightInd w:val="0"/>
        <w:rPr>
          <w:i/>
          <w:iCs/>
          <w:color w:val="000000"/>
        </w:rPr>
      </w:pPr>
    </w:p>
    <w:p w:rsidR="00EA1875" w:rsidRDefault="00EA1875" w:rsidP="00562213">
      <w:pPr>
        <w:autoSpaceDE w:val="0"/>
        <w:autoSpaceDN w:val="0"/>
        <w:adjustRightInd w:val="0"/>
        <w:rPr>
          <w:i/>
          <w:iCs/>
          <w:color w:val="000000"/>
        </w:rPr>
      </w:pPr>
      <w:r w:rsidRPr="00AA530E">
        <w:rPr>
          <w:i/>
          <w:iCs/>
          <w:color w:val="000000"/>
        </w:rPr>
        <w:t>Cluster 1</w:t>
      </w:r>
      <w:r>
        <w:rPr>
          <w:i/>
          <w:iCs/>
          <w:color w:val="000000"/>
        </w:rPr>
        <w:t>II (Station</w:t>
      </w:r>
      <w:r w:rsidRPr="00AA530E">
        <w:rPr>
          <w:i/>
          <w:iCs/>
          <w:color w:val="000000"/>
        </w:rPr>
        <w:t xml:space="preserve"> </w:t>
      </w:r>
      <w:r>
        <w:rPr>
          <w:i/>
          <w:iCs/>
          <w:color w:val="000000"/>
        </w:rPr>
        <w:t>6</w:t>
      </w:r>
      <w:r w:rsidRPr="00AA530E">
        <w:rPr>
          <w:i/>
          <w:iCs/>
          <w:color w:val="000000"/>
        </w:rPr>
        <w:t>)</w:t>
      </w:r>
    </w:p>
    <w:p w:rsidR="00EA1875" w:rsidRDefault="00EA1875" w:rsidP="00562213">
      <w:pPr>
        <w:autoSpaceDE w:val="0"/>
        <w:autoSpaceDN w:val="0"/>
        <w:adjustRightInd w:val="0"/>
        <w:ind w:firstLine="708"/>
        <w:jc w:val="both"/>
      </w:pPr>
      <w:r w:rsidRPr="001F6951">
        <w:t>This cluster consists one station mainly located near Al-Rasheed water treatment plant</w:t>
      </w:r>
      <w:r>
        <w:t>. Most</w:t>
      </w:r>
      <w:r w:rsidRPr="001F6951">
        <w:t xml:space="preserve"> of the city's factories (Al-Dora oil refinery, oil </w:t>
      </w:r>
      <w:r>
        <w:t xml:space="preserve">vegetables factory,tanning </w:t>
      </w:r>
      <w:r w:rsidRPr="001F6951">
        <w:t>factory and cement factory)</w:t>
      </w:r>
      <w:r>
        <w:t xml:space="preserve"> and</w:t>
      </w:r>
      <w:r w:rsidRPr="001F6951">
        <w:t xml:space="preserve"> agricultural areas located downstream of this station. </w:t>
      </w:r>
      <w:r>
        <w:t>Therefore, this</w:t>
      </w:r>
      <w:r w:rsidRPr="001F6951">
        <w:t xml:space="preserve"> </w:t>
      </w:r>
      <w:r>
        <w:t>station</w:t>
      </w:r>
      <w:r w:rsidRPr="001F6951">
        <w:t xml:space="preserve"> received pollutants mostly from </w:t>
      </w:r>
      <w:r>
        <w:t>non-point source pollution a</w:t>
      </w:r>
      <w:r w:rsidRPr="001F6951">
        <w:t xml:space="preserve">nd industrial effluents. </w:t>
      </w:r>
    </w:p>
    <w:p w:rsidR="00EA1875" w:rsidRPr="002E56B1" w:rsidRDefault="00EA1875" w:rsidP="00562213">
      <w:pPr>
        <w:autoSpaceDE w:val="0"/>
        <w:autoSpaceDN w:val="0"/>
        <w:adjustRightInd w:val="0"/>
        <w:jc w:val="both"/>
      </w:pPr>
      <w:r w:rsidRPr="002E56B1">
        <w:t>Obviously, the station 7 (cluster II) is much less polluted than station</w:t>
      </w:r>
      <w:r>
        <w:t xml:space="preserve"> 6 (cluster III), </w:t>
      </w:r>
      <w:r w:rsidRPr="002E56B1">
        <w:t>the inclusion of the sampling location suggests the self-purification and assimilative capacity of the river are strong.</w:t>
      </w:r>
    </w:p>
    <w:p w:rsidR="00EA1875" w:rsidRPr="00562213" w:rsidRDefault="00EA1875" w:rsidP="00562213">
      <w:pPr>
        <w:pStyle w:val="heading2"/>
        <w:spacing w:before="0" w:after="0"/>
        <w:rPr>
          <w:rFonts w:ascii="Times New Roman" w:hAnsi="Times New Roman"/>
          <w:b w:val="0"/>
          <w:sz w:val="28"/>
          <w:szCs w:val="28"/>
        </w:rPr>
      </w:pPr>
      <w:r w:rsidRPr="00562213">
        <w:rPr>
          <w:rFonts w:ascii="Times New Roman" w:hAnsi="Times New Roman"/>
          <w:b w:val="0"/>
          <w:sz w:val="28"/>
          <w:szCs w:val="28"/>
        </w:rPr>
        <w:t>Conclusions</w:t>
      </w:r>
    </w:p>
    <w:p w:rsidR="00EA1875" w:rsidRPr="00164D77" w:rsidRDefault="00EA1875" w:rsidP="00562213">
      <w:pPr>
        <w:autoSpaceDE w:val="0"/>
        <w:autoSpaceDN w:val="0"/>
        <w:adjustRightInd w:val="0"/>
        <w:ind w:firstLine="708"/>
        <w:jc w:val="both"/>
      </w:pPr>
      <w:r w:rsidRPr="002E56B1">
        <w:t xml:space="preserve">In this study, different </w:t>
      </w:r>
      <w:r w:rsidRPr="00164D77">
        <w:t xml:space="preserve">multivariable statistical methods were successfully applied </w:t>
      </w:r>
      <w:r w:rsidRPr="002E56B1">
        <w:t xml:space="preserve">to assess the quality of Tigris river at Baghdad stretch. </w:t>
      </w:r>
      <w:r w:rsidRPr="00164D77">
        <w:t>The results are useful for river water quality management.</w:t>
      </w:r>
      <w:r>
        <w:t xml:space="preserve"> </w:t>
      </w:r>
      <w:r w:rsidRPr="009D6A97">
        <w:t>The conclusion drawn of this study as follows:</w:t>
      </w:r>
    </w:p>
    <w:p w:rsidR="00EA1875" w:rsidRDefault="00EA1875" w:rsidP="00562213">
      <w:pPr>
        <w:pStyle w:val="ListParagraph"/>
        <w:numPr>
          <w:ilvl w:val="0"/>
          <w:numId w:val="2"/>
        </w:numPr>
        <w:autoSpaceDE w:val="0"/>
        <w:autoSpaceDN w:val="0"/>
        <w:adjustRightInd w:val="0"/>
        <w:ind w:left="284"/>
        <w:jc w:val="both"/>
      </w:pPr>
      <w:r w:rsidRPr="00164D77">
        <w:t xml:space="preserve">Factor analysis </w:t>
      </w:r>
      <w:r>
        <w:t>r</w:t>
      </w:r>
      <w:r w:rsidRPr="00164D77">
        <w:t>esults revealed that 1</w:t>
      </w:r>
      <w:r>
        <w:t>4</w:t>
      </w:r>
      <w:r w:rsidRPr="00164D77">
        <w:t xml:space="preserve"> quality variables can be grouped under three factors namely: </w:t>
      </w:r>
      <w:r w:rsidRPr="006B2B20">
        <w:t>anthropogenic factor, erosion and rainfall factor and pH factor.</w:t>
      </w:r>
    </w:p>
    <w:p w:rsidR="00EA1875" w:rsidRDefault="00EA1875" w:rsidP="00562213">
      <w:pPr>
        <w:pStyle w:val="ListParagraph"/>
        <w:numPr>
          <w:ilvl w:val="0"/>
          <w:numId w:val="2"/>
        </w:numPr>
        <w:autoSpaceDE w:val="0"/>
        <w:autoSpaceDN w:val="0"/>
        <w:adjustRightInd w:val="0"/>
        <w:ind w:left="284"/>
        <w:jc w:val="both"/>
      </w:pPr>
      <w:r w:rsidRPr="008860AC">
        <w:t xml:space="preserve">Hierarchical cluster analysis grouped 7 sampling sites into three clusters of similar water quality characteristics. Based on obtained information, it is possible to design an optimal sampling strategy, which could reduce the number of sampling stations and associate costs. It is concluded that stations can be grouped under three clusters. </w:t>
      </w:r>
    </w:p>
    <w:p w:rsidR="00EA1875" w:rsidRDefault="00EA1875" w:rsidP="00562213">
      <w:pPr>
        <w:pStyle w:val="ListParagraph"/>
        <w:numPr>
          <w:ilvl w:val="1"/>
          <w:numId w:val="5"/>
        </w:numPr>
        <w:autoSpaceDE w:val="0"/>
        <w:autoSpaceDN w:val="0"/>
        <w:adjustRightInd w:val="0"/>
        <w:ind w:left="284"/>
        <w:jc w:val="both"/>
      </w:pPr>
      <w:r w:rsidRPr="008860AC">
        <w:t xml:space="preserve">Cluster </w:t>
      </w:r>
      <w:r>
        <w:t>I</w:t>
      </w:r>
      <w:r w:rsidRPr="008860AC">
        <w:t xml:space="preserve"> included </w:t>
      </w:r>
      <w:r>
        <w:t>sites (</w:t>
      </w:r>
      <w:r w:rsidRPr="008E11A1">
        <w:rPr>
          <w:rFonts w:ascii="TimesNewRomanPSMT" w:hAnsi="TimesNewRomanPSMT" w:cs="TimesNewRomanPSMT"/>
        </w:rPr>
        <w:t>Al-Tarmiyahm</w:t>
      </w:r>
      <w:r>
        <w:rPr>
          <w:rFonts w:ascii="TimesNewRomanPSMT" w:hAnsi="TimesNewRomanPSMT" w:cs="TimesNewRomanPSMT"/>
        </w:rPr>
        <w:t xml:space="preserve">, </w:t>
      </w:r>
      <w:r w:rsidRPr="008A48E3">
        <w:rPr>
          <w:rFonts w:ascii="TimesNewRomanPSMT" w:hAnsi="TimesNewRomanPSMT" w:cs="TimesNewRomanPSMT"/>
        </w:rPr>
        <w:t>Al-</w:t>
      </w:r>
      <w:r>
        <w:rPr>
          <w:rFonts w:ascii="TimesNewRoman" w:eastAsia="TimesNewRoman" w:cs="TimesNewRoman"/>
        </w:rPr>
        <w:t xml:space="preserve">Muthana Bridge and Al-Adhamiyah Bridge) </w:t>
      </w:r>
      <w:r w:rsidRPr="00E578BA">
        <w:t>which showing least concentrations of all the variables including</w:t>
      </w:r>
      <w:r>
        <w:t xml:space="preserve"> and </w:t>
      </w:r>
      <w:r w:rsidRPr="00E578BA">
        <w:t>are located upstream of sewage a</w:t>
      </w:r>
      <w:r>
        <w:t xml:space="preserve">nd domestic wastes mixing zones. </w:t>
      </w:r>
      <w:r w:rsidRPr="009B20E7">
        <w:t>Cluster I represent less polluted sites.</w:t>
      </w:r>
      <w:r>
        <w:t xml:space="preserve"> </w:t>
      </w:r>
    </w:p>
    <w:p w:rsidR="00EA1875" w:rsidRDefault="00EA1875" w:rsidP="00562213">
      <w:pPr>
        <w:pStyle w:val="ListParagraph"/>
        <w:numPr>
          <w:ilvl w:val="1"/>
          <w:numId w:val="5"/>
        </w:numPr>
        <w:autoSpaceDE w:val="0"/>
        <w:autoSpaceDN w:val="0"/>
        <w:adjustRightInd w:val="0"/>
        <w:ind w:left="284"/>
        <w:jc w:val="both"/>
      </w:pPr>
      <w:r>
        <w:t>Cluster II represents sites (</w:t>
      </w:r>
      <w:r w:rsidRPr="00941423">
        <w:rPr>
          <w:rFonts w:ascii="TimesNewRoman" w:eastAsia="TimesNewRoman" w:cs="TimesNewRoman"/>
        </w:rPr>
        <w:t>Midecal City bridge, Al-Jadriyah Bridge</w:t>
      </w:r>
      <w:r>
        <w:rPr>
          <w:rFonts w:ascii="TimesNewRoman" w:eastAsia="TimesNewRoman" w:cs="TimesNewRoman"/>
        </w:rPr>
        <w:t xml:space="preserve"> and Al-Zafarania)</w:t>
      </w:r>
      <w:r w:rsidRPr="00941423">
        <w:rPr>
          <w:rFonts w:ascii="TimesNewRoman" w:eastAsia="TimesNewRoman" w:cs="TimesNewRoman"/>
        </w:rPr>
        <w:t xml:space="preserve">. </w:t>
      </w:r>
      <w:r>
        <w:rPr>
          <w:rFonts w:ascii="TimesNewRoman" w:eastAsia="TimesNewRoman" w:cs="TimesNewRoman"/>
        </w:rPr>
        <w:t xml:space="preserve">This cluster </w:t>
      </w:r>
      <w:r>
        <w:t xml:space="preserve">considered as moderately polluted zone. </w:t>
      </w:r>
    </w:p>
    <w:p w:rsidR="00EA1875" w:rsidRDefault="00EA1875" w:rsidP="00562213">
      <w:pPr>
        <w:pStyle w:val="ListParagraph"/>
        <w:numPr>
          <w:ilvl w:val="1"/>
          <w:numId w:val="5"/>
        </w:numPr>
        <w:autoSpaceDE w:val="0"/>
        <w:autoSpaceDN w:val="0"/>
        <w:adjustRightInd w:val="0"/>
        <w:ind w:left="284"/>
        <w:jc w:val="both"/>
      </w:pPr>
      <w:r>
        <w:t xml:space="preserve">While the cluster III represents one </w:t>
      </w:r>
      <w:r w:rsidRPr="00E578BA">
        <w:t xml:space="preserve">station </w:t>
      </w:r>
      <w:r>
        <w:t>(</w:t>
      </w:r>
      <w:r>
        <w:rPr>
          <w:rFonts w:ascii="TimesNewRoman" w:eastAsia="TimesNewRoman" w:cs="TimesNewRoman"/>
        </w:rPr>
        <w:t xml:space="preserve">Al-Rashed) </w:t>
      </w:r>
      <w:r w:rsidRPr="00E578BA">
        <w:t xml:space="preserve">located downstream of </w:t>
      </w:r>
      <w:r>
        <w:t>Baghdad</w:t>
      </w:r>
      <w:r w:rsidRPr="001F6951">
        <w:t> factories</w:t>
      </w:r>
      <w:r>
        <w:t xml:space="preserve"> and</w:t>
      </w:r>
      <w:r w:rsidRPr="001F6951">
        <w:t xml:space="preserve"> agricultural areas </w:t>
      </w:r>
      <w:r w:rsidRPr="00E578BA">
        <w:t xml:space="preserve">which </w:t>
      </w:r>
      <w:r>
        <w:t>is</w:t>
      </w:r>
      <w:r w:rsidRPr="00E578BA">
        <w:t xml:space="preserve"> </w:t>
      </w:r>
      <w:r w:rsidRPr="006B2B20">
        <w:t>corresponded to highly polluted site.</w:t>
      </w:r>
      <w:r>
        <w:t xml:space="preserve"> </w:t>
      </w:r>
    </w:p>
    <w:p w:rsidR="00EA1875" w:rsidRPr="00F55C6D" w:rsidRDefault="00EA1875" w:rsidP="00562213">
      <w:pPr>
        <w:pStyle w:val="ListParagraph"/>
        <w:numPr>
          <w:ilvl w:val="0"/>
          <w:numId w:val="2"/>
        </w:numPr>
        <w:autoSpaceDE w:val="0"/>
        <w:autoSpaceDN w:val="0"/>
        <w:adjustRightInd w:val="0"/>
        <w:ind w:left="284"/>
        <w:jc w:val="both"/>
      </w:pPr>
      <w:r w:rsidRPr="00F55C6D">
        <w:t xml:space="preserve">With serious situation of Tigris river water pollution at populated city like Baghdad, the management of water quality of the different zones is becoming more important. According to the sources of pollution, different measures should be adopted, in order to control the total quantity of the pollutants and achieve the water quality standard of Tigris river. It could be helpful to managers and government agencies in water quality management. </w:t>
      </w:r>
    </w:p>
    <w:p w:rsidR="00EA1875" w:rsidRDefault="00EA1875" w:rsidP="00562213">
      <w:pPr>
        <w:pStyle w:val="ListParagraph"/>
        <w:numPr>
          <w:ilvl w:val="0"/>
          <w:numId w:val="2"/>
        </w:numPr>
        <w:autoSpaceDE w:val="0"/>
        <w:autoSpaceDN w:val="0"/>
        <w:adjustRightInd w:val="0"/>
        <w:ind w:left="284"/>
        <w:jc w:val="both"/>
      </w:pPr>
      <w:r w:rsidRPr="00F55C6D">
        <w:t>As a result, multivariate statistical methods including factor and cluster analyses can be used to understand complex nature of water quality issues and determine priorities to improve water quality.</w:t>
      </w:r>
      <w:r>
        <w:t xml:space="preserve"> </w:t>
      </w:r>
      <w:r w:rsidRPr="006B2B20">
        <w:t>These methods are believed to assist decision makers assessing water quality and determining priorities in pollution prevention efforts.</w:t>
      </w:r>
    </w:p>
    <w:p w:rsidR="00EA1875" w:rsidRPr="007C00D8" w:rsidRDefault="00EA1875" w:rsidP="00562213">
      <w:pPr>
        <w:pStyle w:val="acknowledgements"/>
        <w:spacing w:before="0"/>
        <w:rPr>
          <w:sz w:val="22"/>
          <w:szCs w:val="22"/>
        </w:rPr>
      </w:pPr>
      <w:r w:rsidRPr="00C2517E">
        <w:rPr>
          <w:b/>
          <w:bCs/>
          <w:sz w:val="22"/>
          <w:szCs w:val="22"/>
        </w:rPr>
        <w:t xml:space="preserve">Acknowledgement </w:t>
      </w:r>
      <w:r w:rsidRPr="00C2517E">
        <w:rPr>
          <w:sz w:val="22"/>
          <w:szCs w:val="22"/>
        </w:rPr>
        <w:t>The author</w:t>
      </w:r>
      <w:r>
        <w:rPr>
          <w:sz w:val="22"/>
          <w:szCs w:val="22"/>
        </w:rPr>
        <w:t>s</w:t>
      </w:r>
      <w:r w:rsidRPr="00C2517E">
        <w:rPr>
          <w:sz w:val="22"/>
          <w:szCs w:val="22"/>
        </w:rPr>
        <w:t xml:space="preserve"> </w:t>
      </w:r>
      <w:r>
        <w:rPr>
          <w:sz w:val="22"/>
          <w:szCs w:val="22"/>
        </w:rPr>
        <w:t>are</w:t>
      </w:r>
      <w:r w:rsidRPr="00C2517E">
        <w:rPr>
          <w:sz w:val="22"/>
          <w:szCs w:val="22"/>
        </w:rPr>
        <w:t xml:space="preserve"> thankful to (the late Eng. Anas Faleh Abed) for providing necessary facilities. God bless his soul.</w:t>
      </w:r>
    </w:p>
    <w:p w:rsidR="00EA1875" w:rsidRPr="007C00D8" w:rsidRDefault="00EA1875" w:rsidP="00562213"/>
    <w:p w:rsidR="00EA1875" w:rsidRPr="005B2C41" w:rsidRDefault="00EA1875" w:rsidP="00562213">
      <w:pPr>
        <w:pStyle w:val="heading2"/>
        <w:spacing w:before="0" w:after="0"/>
        <w:rPr>
          <w:rFonts w:ascii="Times New Roman" w:hAnsi="Times New Roman"/>
          <w:bCs/>
          <w:color w:val="141314"/>
          <w:sz w:val="28"/>
          <w:szCs w:val="28"/>
        </w:rPr>
      </w:pPr>
      <w:r w:rsidRPr="005B2C41">
        <w:rPr>
          <w:rFonts w:ascii="Times New Roman" w:hAnsi="Times New Roman"/>
          <w:bCs/>
          <w:color w:val="141314"/>
          <w:sz w:val="28"/>
          <w:szCs w:val="28"/>
        </w:rPr>
        <w:t>References</w:t>
      </w:r>
    </w:p>
    <w:p w:rsidR="00EA1875" w:rsidRPr="005A1D53" w:rsidRDefault="00EA1875" w:rsidP="00562213">
      <w:pPr>
        <w:pStyle w:val="reference"/>
        <w:ind w:left="567" w:hanging="567"/>
        <w:jc w:val="both"/>
        <w:rPr>
          <w:color w:val="141314"/>
          <w:sz w:val="24"/>
        </w:rPr>
      </w:pPr>
      <w:r w:rsidRPr="005A1D53">
        <w:rPr>
          <w:color w:val="141314"/>
          <w:sz w:val="24"/>
        </w:rPr>
        <w:t xml:space="preserve">Ahmed, S., Hussain, M., &amp; Abderrahman, W. (2005). Using multivariate factor analysis to assess surface/logged water quality and source of contamination at a large irrigation project at Al-Fadhli, Eastern Province, Saudi Arabia. Bulletin of Engineering </w:t>
      </w:r>
      <w:r w:rsidRPr="005A1D53">
        <w:rPr>
          <w:i/>
          <w:iCs/>
          <w:color w:val="141314"/>
          <w:sz w:val="24"/>
        </w:rPr>
        <w:t>Geology and the Environment</w:t>
      </w:r>
      <w:r w:rsidRPr="005A1D53">
        <w:rPr>
          <w:color w:val="141314"/>
          <w:sz w:val="24"/>
        </w:rPr>
        <w:t>, 64, 232–315.</w:t>
      </w:r>
    </w:p>
    <w:p w:rsidR="00EA1875" w:rsidRPr="005A1D53" w:rsidRDefault="00EA1875" w:rsidP="00562213">
      <w:pPr>
        <w:pStyle w:val="reference"/>
        <w:ind w:left="567" w:hanging="567"/>
        <w:jc w:val="both"/>
        <w:rPr>
          <w:color w:val="141314"/>
          <w:sz w:val="24"/>
        </w:rPr>
      </w:pPr>
      <w:r w:rsidRPr="005A1D53">
        <w:rPr>
          <w:color w:val="141314"/>
          <w:sz w:val="24"/>
        </w:rPr>
        <w:t>Al-Adili, A. S., 1998 “Geotechnical Evaluation of Baghdad Soil Subsidence and their Treatments,” Ph.D. Thesis, University of Baghdad, Iraq.</w:t>
      </w:r>
    </w:p>
    <w:p w:rsidR="00EA1875" w:rsidRPr="005A1D53" w:rsidRDefault="00EA1875" w:rsidP="00562213">
      <w:pPr>
        <w:pStyle w:val="reference"/>
        <w:ind w:left="567" w:hanging="567"/>
        <w:jc w:val="both"/>
        <w:rPr>
          <w:sz w:val="24"/>
        </w:rPr>
      </w:pPr>
      <w:r w:rsidRPr="005A1D53">
        <w:rPr>
          <w:color w:val="141314"/>
          <w:sz w:val="24"/>
        </w:rPr>
        <w:t>APHA. (1998). Standard methods for the examination of water and waste water, 19th. Ed, American Public Health Association, American Water Works Association &amp; Water Environment Federation, Washington, DC.</w:t>
      </w:r>
    </w:p>
    <w:p w:rsidR="00EA1875" w:rsidRPr="005A1D53" w:rsidRDefault="00EA1875" w:rsidP="00562213">
      <w:pPr>
        <w:pStyle w:val="reference"/>
        <w:ind w:left="567" w:hanging="567"/>
        <w:jc w:val="both"/>
        <w:rPr>
          <w:sz w:val="24"/>
        </w:rPr>
      </w:pPr>
      <w:r w:rsidRPr="005A1D53">
        <w:rPr>
          <w:sz w:val="24"/>
        </w:rPr>
        <w:t xml:space="preserve">Arzu, A., Zeynep, F., · Iscen, F. C., (2008). Assessment of seasonal variations of surface water quality characteristics for Porsuk Stream. </w:t>
      </w:r>
      <w:r w:rsidRPr="005A1D53">
        <w:rPr>
          <w:i/>
          <w:iCs/>
          <w:sz w:val="24"/>
        </w:rPr>
        <w:t>Environ Monit Assess</w:t>
      </w:r>
      <w:r w:rsidRPr="005A1D53">
        <w:rPr>
          <w:sz w:val="24"/>
        </w:rPr>
        <w:t xml:space="preserve"> 158:51–65.</w:t>
      </w:r>
    </w:p>
    <w:p w:rsidR="00EA1875" w:rsidRPr="005A1D53" w:rsidRDefault="00EA1875" w:rsidP="00562213">
      <w:pPr>
        <w:pStyle w:val="reference"/>
        <w:ind w:left="567" w:hanging="567"/>
        <w:jc w:val="both"/>
        <w:rPr>
          <w:color w:val="141314"/>
          <w:sz w:val="24"/>
        </w:rPr>
      </w:pPr>
      <w:r w:rsidRPr="005A1D53">
        <w:rPr>
          <w:color w:val="141314"/>
          <w:sz w:val="24"/>
        </w:rPr>
        <w:t xml:space="preserve">Boyacioglu, H. &amp; Boyacioglu, H. (2007), “Surface Water Quality Assessment by Environmetric Methods” </w:t>
      </w:r>
      <w:r w:rsidRPr="005A1D53">
        <w:rPr>
          <w:i/>
          <w:iCs/>
          <w:color w:val="141314"/>
          <w:sz w:val="24"/>
        </w:rPr>
        <w:t>Environ Monit Assess</w:t>
      </w:r>
      <w:r w:rsidRPr="005A1D53">
        <w:rPr>
          <w:color w:val="141314"/>
          <w:sz w:val="24"/>
        </w:rPr>
        <w:t xml:space="preserve"> 131:371–376. doi: 10.1007/s10661-006-9482-4</w:t>
      </w:r>
    </w:p>
    <w:p w:rsidR="00EA1875" w:rsidRPr="005A1D53" w:rsidRDefault="00EA1875" w:rsidP="00562213">
      <w:pPr>
        <w:pStyle w:val="reference"/>
        <w:ind w:left="567" w:hanging="567"/>
        <w:jc w:val="both"/>
        <w:rPr>
          <w:color w:val="141314"/>
          <w:sz w:val="24"/>
        </w:rPr>
      </w:pPr>
      <w:r w:rsidRPr="005A1D53">
        <w:rPr>
          <w:color w:val="141314"/>
          <w:sz w:val="24"/>
        </w:rPr>
        <w:t xml:space="preserve">Carpenter, S. R., Caraco, N. E., Correll, D. L., Howarth, R. W., &amp; Smith, V. H. (1998). Nonpoint pollution of surface waters with phosphorus and nitrogen. </w:t>
      </w:r>
      <w:r w:rsidRPr="005A1D53">
        <w:rPr>
          <w:i/>
          <w:iCs/>
          <w:color w:val="141314"/>
          <w:sz w:val="24"/>
        </w:rPr>
        <w:t>Ecological Applications</w:t>
      </w:r>
      <w:r w:rsidRPr="005A1D53">
        <w:rPr>
          <w:color w:val="141314"/>
          <w:sz w:val="24"/>
        </w:rPr>
        <w:t>, 8(3), 559–568.</w:t>
      </w:r>
    </w:p>
    <w:p w:rsidR="00EA1875" w:rsidRPr="005A1D53" w:rsidRDefault="00EA1875" w:rsidP="00562213">
      <w:pPr>
        <w:pStyle w:val="reference"/>
        <w:ind w:left="567" w:hanging="567"/>
        <w:jc w:val="both"/>
        <w:rPr>
          <w:sz w:val="24"/>
        </w:rPr>
      </w:pPr>
      <w:r w:rsidRPr="005A1D53">
        <w:rPr>
          <w:sz w:val="24"/>
        </w:rPr>
        <w:t xml:space="preserve">Gupta, A. K., Gupta, S. K., &amp; Patil, R. S. (2005). Statistical analyses of coastal water quality for a port and harbor region in India. </w:t>
      </w:r>
      <w:r w:rsidRPr="005A1D53">
        <w:rPr>
          <w:i/>
          <w:iCs/>
          <w:sz w:val="24"/>
        </w:rPr>
        <w:t>Environmental Monitoring and Assessment</w:t>
      </w:r>
      <w:r w:rsidRPr="005A1D53">
        <w:rPr>
          <w:sz w:val="24"/>
        </w:rPr>
        <w:t>, 102, 179–200.</w:t>
      </w:r>
    </w:p>
    <w:p w:rsidR="00EA1875" w:rsidRPr="005A1D53" w:rsidRDefault="00EA1875" w:rsidP="00562213">
      <w:pPr>
        <w:pStyle w:val="reference"/>
        <w:ind w:left="567" w:hanging="567"/>
        <w:jc w:val="both"/>
        <w:rPr>
          <w:color w:val="141314"/>
          <w:sz w:val="24"/>
        </w:rPr>
      </w:pPr>
      <w:r w:rsidRPr="005A1D53">
        <w:rPr>
          <w:color w:val="141314"/>
          <w:sz w:val="24"/>
        </w:rPr>
        <w:t xml:space="preserve">Johnson, R. A., &amp; Wichern, D. W. (2002). </w:t>
      </w:r>
      <w:r w:rsidRPr="005A1D53">
        <w:rPr>
          <w:i/>
          <w:iCs/>
          <w:color w:val="141314"/>
          <w:sz w:val="24"/>
        </w:rPr>
        <w:t>Applied multivariate statistical analysis</w:t>
      </w:r>
      <w:r w:rsidRPr="005A1D53">
        <w:rPr>
          <w:color w:val="141314"/>
          <w:sz w:val="24"/>
        </w:rPr>
        <w:t xml:space="preserve"> (5th ed.). Upper Saddle River, NJ: Prentice Hal.</w:t>
      </w:r>
    </w:p>
    <w:p w:rsidR="00EA1875" w:rsidRPr="005A1D53" w:rsidRDefault="00EA1875" w:rsidP="00562213">
      <w:pPr>
        <w:pStyle w:val="reference"/>
        <w:ind w:left="567" w:hanging="567"/>
        <w:jc w:val="both"/>
        <w:rPr>
          <w:color w:val="141314"/>
          <w:sz w:val="24"/>
        </w:rPr>
      </w:pPr>
      <w:r w:rsidRPr="005A1D53">
        <w:rPr>
          <w:color w:val="141314"/>
          <w:sz w:val="24"/>
        </w:rPr>
        <w:t xml:space="preserve">Kim, J. O., &amp; Mueller, C. W. (1978). </w:t>
      </w:r>
      <w:r w:rsidRPr="005A1D53">
        <w:rPr>
          <w:i/>
          <w:iCs/>
          <w:color w:val="141314"/>
          <w:sz w:val="24"/>
        </w:rPr>
        <w:t xml:space="preserve">Introduction to factor analysis: what it is and how to do it. Quantitative applications in the social sciences series. </w:t>
      </w:r>
      <w:r w:rsidRPr="005A1D53">
        <w:rPr>
          <w:color w:val="141314"/>
          <w:sz w:val="24"/>
        </w:rPr>
        <w:t>Newbury Park, CA: Sage.</w:t>
      </w:r>
    </w:p>
    <w:p w:rsidR="00EA1875" w:rsidRPr="005A1D53" w:rsidRDefault="00EA1875" w:rsidP="00562213">
      <w:pPr>
        <w:pStyle w:val="reference"/>
        <w:ind w:left="567" w:hanging="567"/>
        <w:jc w:val="both"/>
        <w:rPr>
          <w:color w:val="141314"/>
          <w:sz w:val="24"/>
        </w:rPr>
      </w:pPr>
      <w:r w:rsidRPr="005A1D53">
        <w:rPr>
          <w:color w:val="141314"/>
          <w:sz w:val="24"/>
        </w:rPr>
        <w:t xml:space="preserve">Kotti, M. E., Vlessidis, A. G., Thanasoulias, N. C., &amp; Evmiridis, N. P. (2005). Assessment of river water quality in Northwestern Greece. </w:t>
      </w:r>
      <w:r w:rsidRPr="005A1D53">
        <w:rPr>
          <w:i/>
          <w:iCs/>
          <w:color w:val="141314"/>
          <w:sz w:val="24"/>
        </w:rPr>
        <w:t>Water Resources Management</w:t>
      </w:r>
      <w:r w:rsidRPr="005A1D53">
        <w:rPr>
          <w:color w:val="141314"/>
          <w:sz w:val="24"/>
        </w:rPr>
        <w:t>, 19, 77–94.</w:t>
      </w:r>
    </w:p>
    <w:p w:rsidR="00EA1875" w:rsidRPr="005A1D53" w:rsidRDefault="00EA1875" w:rsidP="00562213">
      <w:pPr>
        <w:pStyle w:val="reference"/>
        <w:ind w:left="567" w:hanging="567"/>
        <w:jc w:val="both"/>
        <w:rPr>
          <w:color w:val="141314"/>
          <w:sz w:val="24"/>
        </w:rPr>
      </w:pPr>
      <w:r w:rsidRPr="005A1D53">
        <w:rPr>
          <w:color w:val="141314"/>
          <w:sz w:val="24"/>
        </w:rPr>
        <w:t xml:space="preserve">Liu, C. W., Lin, K. H., &amp; Kuo, Y. M. (2003). Application of factor analysis in the assessment of groundwater quality in a Blackfoot disease area in Taiwan. </w:t>
      </w:r>
      <w:r w:rsidRPr="005A1D53">
        <w:rPr>
          <w:i/>
          <w:iCs/>
          <w:color w:val="141314"/>
          <w:sz w:val="24"/>
        </w:rPr>
        <w:t>Science of the Total Environment</w:t>
      </w:r>
      <w:r w:rsidRPr="005A1D53">
        <w:rPr>
          <w:color w:val="141314"/>
          <w:sz w:val="24"/>
        </w:rPr>
        <w:t>, 313, 77–89.</w:t>
      </w:r>
    </w:p>
    <w:p w:rsidR="00EA1875" w:rsidRPr="005A1D53" w:rsidRDefault="00EA1875" w:rsidP="00562213">
      <w:pPr>
        <w:pStyle w:val="reference"/>
        <w:ind w:left="567" w:hanging="567"/>
        <w:jc w:val="both"/>
        <w:rPr>
          <w:sz w:val="24"/>
        </w:rPr>
      </w:pPr>
      <w:r w:rsidRPr="005A1D53">
        <w:rPr>
          <w:color w:val="141314"/>
          <w:sz w:val="24"/>
        </w:rPr>
        <w:t xml:space="preserve">Mutlak, S.M., Salih, B. M., and Tawfiq, S. J. (1980). Quality of Tigris River passing through Baghdad for irrigation. </w:t>
      </w:r>
      <w:r w:rsidRPr="005A1D53">
        <w:rPr>
          <w:i/>
          <w:iCs/>
          <w:color w:val="141314"/>
          <w:sz w:val="24"/>
        </w:rPr>
        <w:t>Water, Air, and Soil Pollution</w:t>
      </w:r>
      <w:r w:rsidRPr="005A1D53">
        <w:rPr>
          <w:color w:val="141314"/>
          <w:sz w:val="24"/>
        </w:rPr>
        <w:t xml:space="preserve"> 13, 9-16.0049-6979</w:t>
      </w:r>
    </w:p>
    <w:p w:rsidR="00EA1875" w:rsidRPr="005A1D53" w:rsidRDefault="00EA1875" w:rsidP="00562213">
      <w:pPr>
        <w:autoSpaceDE w:val="0"/>
        <w:autoSpaceDN w:val="0"/>
        <w:adjustRightInd w:val="0"/>
        <w:ind w:left="567" w:hanging="567"/>
        <w:jc w:val="both"/>
        <w:rPr>
          <w:color w:val="131413"/>
        </w:rPr>
      </w:pPr>
      <w:r w:rsidRPr="005A1D53">
        <w:rPr>
          <w:color w:val="131413"/>
        </w:rPr>
        <w:t xml:space="preserve">Palma, P, Alvarenga, P., Palma, V.A., Fernandes, R.M., Soares,A. M. V. M., , Barbosa, I. R. (2010). Assessment of anthropogenic sources of water pollution using multivariate statistical techniques: a case study of the Alqueva’s reservoir, Portugal, </w:t>
      </w:r>
      <w:r w:rsidRPr="005A1D53">
        <w:rPr>
          <w:i/>
          <w:iCs/>
          <w:color w:val="131413"/>
        </w:rPr>
        <w:t>Environ Monit Assess</w:t>
      </w:r>
      <w:r w:rsidRPr="005A1D53">
        <w:rPr>
          <w:color w:val="131413"/>
        </w:rPr>
        <w:t xml:space="preserve"> 165:539–552, doi: 10.1007/s10661-009-0965-y.</w:t>
      </w:r>
    </w:p>
    <w:p w:rsidR="00EA1875" w:rsidRPr="005A1D53" w:rsidRDefault="00EA1875" w:rsidP="00562213">
      <w:pPr>
        <w:pStyle w:val="reference"/>
        <w:ind w:left="567" w:hanging="567"/>
        <w:jc w:val="both"/>
        <w:rPr>
          <w:sz w:val="24"/>
        </w:rPr>
      </w:pPr>
      <w:r w:rsidRPr="005A1D53">
        <w:rPr>
          <w:sz w:val="24"/>
        </w:rPr>
        <w:t xml:space="preserve">Panda UC, Sundaray SK, Rath P, Nayak BB, Bhatta D. (2006). “Application of factor and cluster analysis for characterization of river and estuarine water systems—a case study: Mahanadi River (India)” </w:t>
      </w:r>
      <w:r w:rsidRPr="005A1D53">
        <w:rPr>
          <w:i/>
          <w:iCs/>
          <w:sz w:val="24"/>
        </w:rPr>
        <w:t xml:space="preserve">J Hydrol (Amst) </w:t>
      </w:r>
      <w:r w:rsidRPr="005A1D53">
        <w:rPr>
          <w:sz w:val="24"/>
        </w:rPr>
        <w:t>331(3–4):434–445,.</w:t>
      </w:r>
    </w:p>
    <w:p w:rsidR="00EA1875" w:rsidRPr="005A1D53" w:rsidRDefault="00EA1875" w:rsidP="00562213">
      <w:pPr>
        <w:pStyle w:val="reference"/>
        <w:ind w:left="567" w:hanging="567"/>
        <w:jc w:val="both"/>
        <w:rPr>
          <w:color w:val="141314"/>
          <w:sz w:val="24"/>
        </w:rPr>
      </w:pPr>
      <w:r w:rsidRPr="005A1D53">
        <w:rPr>
          <w:color w:val="141314"/>
          <w:sz w:val="24"/>
        </w:rPr>
        <w:t>Reghunath, R., Murthy, T. R. S., &amp; Raghavan, B. R. (2002). The utility of multivariate statistical techniques in hydrogeochemical studies: An example from Karnataka, India. Water Research, 36, 2437–2442. doi:10.1016/S0043-1354(01)00490-0.</w:t>
      </w:r>
    </w:p>
    <w:p w:rsidR="00EA1875" w:rsidRPr="005A1D53" w:rsidRDefault="00EA1875" w:rsidP="00562213">
      <w:pPr>
        <w:pStyle w:val="reference"/>
        <w:ind w:left="567" w:hanging="567"/>
        <w:jc w:val="both"/>
        <w:rPr>
          <w:color w:val="141314"/>
          <w:sz w:val="24"/>
        </w:rPr>
      </w:pPr>
      <w:r w:rsidRPr="005A1D53">
        <w:rPr>
          <w:color w:val="141314"/>
          <w:sz w:val="24"/>
        </w:rPr>
        <w:t>Rzoska, J., “</w:t>
      </w:r>
      <w:r w:rsidRPr="005A1D53">
        <w:rPr>
          <w:i/>
          <w:iCs/>
          <w:color w:val="141314"/>
          <w:sz w:val="24"/>
        </w:rPr>
        <w:t>Euphrates and Tigris, Mesopotamia Ecology and Destiny</w:t>
      </w:r>
      <w:r w:rsidRPr="005A1D53">
        <w:rPr>
          <w:color w:val="141314"/>
          <w:sz w:val="24"/>
        </w:rPr>
        <w:t>,” The Hague, Boston, London, p. 122, 1980.</w:t>
      </w:r>
    </w:p>
    <w:p w:rsidR="00EA1875" w:rsidRPr="005A1D53" w:rsidRDefault="00EA1875" w:rsidP="00562213">
      <w:pPr>
        <w:pStyle w:val="reference"/>
        <w:ind w:left="567" w:hanging="567"/>
        <w:jc w:val="both"/>
        <w:rPr>
          <w:color w:val="141314"/>
          <w:sz w:val="24"/>
        </w:rPr>
      </w:pPr>
      <w:r w:rsidRPr="005A1D53">
        <w:rPr>
          <w:color w:val="141314"/>
          <w:sz w:val="24"/>
        </w:rPr>
        <w:t>Saffran, K. (2001). Canadian water quality guidelines for the protection of aquatic life, CCME water quality Index 1,0, User`s manual. Excerpt from Publication no.1299, ISBN 1-896997-34-1.</w:t>
      </w:r>
    </w:p>
    <w:p w:rsidR="00EA1875" w:rsidRPr="005A1D53" w:rsidRDefault="00EA1875" w:rsidP="00562213">
      <w:pPr>
        <w:pStyle w:val="reference"/>
        <w:ind w:left="567" w:hanging="567"/>
        <w:jc w:val="both"/>
        <w:rPr>
          <w:color w:val="141314"/>
          <w:sz w:val="24"/>
        </w:rPr>
      </w:pPr>
      <w:r w:rsidRPr="005A1D53">
        <w:rPr>
          <w:color w:val="141314"/>
          <w:sz w:val="24"/>
        </w:rPr>
        <w:t xml:space="preserve">Sargaonkar, A., &amp; Deshpande, V. (2003). Development of an overall index of pollution for surface water based on a general classification scheme in Indian context. </w:t>
      </w:r>
      <w:r w:rsidRPr="005A1D53">
        <w:rPr>
          <w:i/>
          <w:iCs/>
          <w:color w:val="141314"/>
          <w:sz w:val="24"/>
        </w:rPr>
        <w:t>Environmental Monitoring and Assessment</w:t>
      </w:r>
      <w:r w:rsidRPr="005A1D53">
        <w:rPr>
          <w:color w:val="141314"/>
          <w:sz w:val="24"/>
        </w:rPr>
        <w:t>, 89, 43–67.</w:t>
      </w:r>
    </w:p>
    <w:p w:rsidR="00EA1875" w:rsidRPr="005A1D53" w:rsidRDefault="00EA1875" w:rsidP="00562213">
      <w:pPr>
        <w:pStyle w:val="reference"/>
        <w:ind w:left="567" w:hanging="567"/>
        <w:jc w:val="both"/>
        <w:rPr>
          <w:color w:val="141314"/>
          <w:sz w:val="24"/>
        </w:rPr>
      </w:pPr>
      <w:r w:rsidRPr="005A1D53">
        <w:rPr>
          <w:color w:val="141314"/>
          <w:sz w:val="24"/>
        </w:rPr>
        <w:t>Shrestha, S., &amp; Kazama, F. (2007). Assessment of surface water quality using multivariate statistical techniques: A case study of the Fuji river basin, Japan</w:t>
      </w:r>
      <w:r w:rsidRPr="005A1D53">
        <w:rPr>
          <w:i/>
          <w:iCs/>
          <w:color w:val="141314"/>
          <w:sz w:val="24"/>
        </w:rPr>
        <w:t>. Environmental Modelling &amp; Software</w:t>
      </w:r>
      <w:r w:rsidRPr="005A1D53">
        <w:rPr>
          <w:color w:val="141314"/>
          <w:sz w:val="24"/>
        </w:rPr>
        <w:t>, 22, 464–475. doi:</w:t>
      </w:r>
      <w:r>
        <w:rPr>
          <w:color w:val="141314"/>
          <w:sz w:val="24"/>
        </w:rPr>
        <w:t xml:space="preserve"> </w:t>
      </w:r>
      <w:r w:rsidRPr="005A1D53">
        <w:rPr>
          <w:color w:val="141314"/>
          <w:sz w:val="24"/>
        </w:rPr>
        <w:t>10.</w:t>
      </w:r>
      <w:r>
        <w:rPr>
          <w:color w:val="141314"/>
          <w:sz w:val="24"/>
        </w:rPr>
        <w:t xml:space="preserve"> </w:t>
      </w:r>
      <w:r w:rsidRPr="005A1D53">
        <w:rPr>
          <w:color w:val="141314"/>
          <w:sz w:val="24"/>
        </w:rPr>
        <w:t>1016/</w:t>
      </w:r>
      <w:r>
        <w:rPr>
          <w:color w:val="141314"/>
          <w:sz w:val="24"/>
        </w:rPr>
        <w:t xml:space="preserve"> </w:t>
      </w:r>
      <w:r w:rsidRPr="005A1D53">
        <w:rPr>
          <w:color w:val="141314"/>
          <w:sz w:val="24"/>
        </w:rPr>
        <w:t>j.</w:t>
      </w:r>
      <w:r>
        <w:rPr>
          <w:color w:val="141314"/>
          <w:sz w:val="24"/>
        </w:rPr>
        <w:t xml:space="preserve"> </w:t>
      </w:r>
      <w:r w:rsidRPr="005A1D53">
        <w:rPr>
          <w:color w:val="141314"/>
          <w:sz w:val="24"/>
        </w:rPr>
        <w:t>envsoft.</w:t>
      </w:r>
      <w:r>
        <w:rPr>
          <w:color w:val="141314"/>
          <w:sz w:val="24"/>
        </w:rPr>
        <w:t xml:space="preserve"> </w:t>
      </w:r>
      <w:r w:rsidRPr="005A1D53">
        <w:rPr>
          <w:color w:val="141314"/>
          <w:sz w:val="24"/>
        </w:rPr>
        <w:t>2006.02.001.</w:t>
      </w:r>
    </w:p>
    <w:p w:rsidR="00EA1875" w:rsidRPr="005A1D53" w:rsidRDefault="00EA1875" w:rsidP="00562213">
      <w:pPr>
        <w:pStyle w:val="reference"/>
        <w:ind w:left="567" w:hanging="567"/>
        <w:jc w:val="both"/>
        <w:rPr>
          <w:color w:val="141314"/>
          <w:sz w:val="24"/>
        </w:rPr>
      </w:pPr>
      <w:r w:rsidRPr="005A1D53">
        <w:rPr>
          <w:color w:val="141314"/>
          <w:sz w:val="24"/>
        </w:rPr>
        <w:t xml:space="preserve">Simeonova, P., Simeonov, V., &amp; Andreev, G. (2003). Water quality study of the Struma River Basin, Bulgaria (1989–1998). </w:t>
      </w:r>
      <w:r w:rsidRPr="005A1D53">
        <w:rPr>
          <w:i/>
          <w:iCs/>
          <w:color w:val="141314"/>
          <w:sz w:val="24"/>
        </w:rPr>
        <w:t>Central European Journal of Chemistry</w:t>
      </w:r>
      <w:r w:rsidRPr="005A1D53">
        <w:rPr>
          <w:color w:val="141314"/>
          <w:sz w:val="24"/>
        </w:rPr>
        <w:t>, 1, 136–212. doi:10.2478/BF02479264.</w:t>
      </w:r>
    </w:p>
    <w:p w:rsidR="00EA1875" w:rsidRPr="005A1D53" w:rsidRDefault="00EA1875" w:rsidP="00562213">
      <w:pPr>
        <w:pStyle w:val="reference"/>
        <w:ind w:left="567" w:hanging="567"/>
        <w:jc w:val="both"/>
        <w:rPr>
          <w:color w:val="141314"/>
          <w:sz w:val="24"/>
        </w:rPr>
      </w:pPr>
      <w:r w:rsidRPr="005A1D53">
        <w:rPr>
          <w:color w:val="141314"/>
          <w:sz w:val="24"/>
        </w:rPr>
        <w:t xml:space="preserve">Simeonov, V., Einax, J. W., Stanimirova, I., &amp; Kraft, J. (2002). Environmetric modeling and interpretation of river water monitoring data. </w:t>
      </w:r>
      <w:r w:rsidRPr="005A1D53">
        <w:rPr>
          <w:i/>
          <w:iCs/>
          <w:color w:val="141314"/>
          <w:sz w:val="24"/>
        </w:rPr>
        <w:t>Analytical and Bioanalytical Chemistry</w:t>
      </w:r>
      <w:r w:rsidRPr="005A1D53">
        <w:rPr>
          <w:color w:val="141314"/>
          <w:sz w:val="24"/>
        </w:rPr>
        <w:t>, 374, 898–905.</w:t>
      </w:r>
    </w:p>
    <w:p w:rsidR="00EA1875" w:rsidRPr="005A1D53" w:rsidRDefault="00EA1875" w:rsidP="00562213">
      <w:pPr>
        <w:pStyle w:val="reference"/>
        <w:ind w:left="567" w:hanging="567"/>
        <w:jc w:val="both"/>
        <w:rPr>
          <w:color w:val="141314"/>
          <w:sz w:val="24"/>
        </w:rPr>
      </w:pPr>
      <w:r w:rsidRPr="005A1D53">
        <w:rPr>
          <w:color w:val="141314"/>
          <w:sz w:val="24"/>
        </w:rPr>
        <w:t xml:space="preserve">Singh, K. P., Malik, A., Mohan, D., &amp; Sinha, S. (2004). Multivariate statistical techniques for the evaluation of spatial and temporal variations in water quality of Gomti River (India):Acase study. </w:t>
      </w:r>
      <w:r w:rsidRPr="005A1D53">
        <w:rPr>
          <w:i/>
          <w:iCs/>
          <w:color w:val="141314"/>
          <w:sz w:val="24"/>
        </w:rPr>
        <w:t>Water Research</w:t>
      </w:r>
      <w:r w:rsidRPr="005A1D53">
        <w:rPr>
          <w:color w:val="141314"/>
          <w:sz w:val="24"/>
        </w:rPr>
        <w:t>, 38, 3980–3992. doi:10.1016/j.watres..06.011.</w:t>
      </w:r>
    </w:p>
    <w:p w:rsidR="00EA1875" w:rsidRPr="005A1D53" w:rsidRDefault="00EA1875" w:rsidP="005B2C41">
      <w:pPr>
        <w:pStyle w:val="reference"/>
        <w:ind w:left="567" w:hanging="567"/>
        <w:jc w:val="both"/>
        <w:rPr>
          <w:color w:val="141314"/>
          <w:sz w:val="24"/>
        </w:rPr>
      </w:pPr>
      <w:r w:rsidRPr="005A1D53">
        <w:rPr>
          <w:color w:val="141314"/>
          <w:sz w:val="24"/>
        </w:rPr>
        <w:t>Singh, K. P., Malik, A., &amp; Sinha, S. (2005). Water quality assessment and apportionment of pollution sources of Gomti river (India) using multivariate statistical techniques</w:t>
      </w:r>
      <w:r>
        <w:rPr>
          <w:color w:val="141314"/>
          <w:sz w:val="24"/>
        </w:rPr>
        <w:t>-</w:t>
      </w:r>
      <w:r w:rsidRPr="005A1D53">
        <w:rPr>
          <w:color w:val="141314"/>
          <w:sz w:val="24"/>
        </w:rPr>
        <w:t>A case study. Analytica Chimica Acta, 538, 355–374. doi:</w:t>
      </w:r>
      <w:r>
        <w:rPr>
          <w:color w:val="141314"/>
          <w:sz w:val="24"/>
        </w:rPr>
        <w:t xml:space="preserve"> </w:t>
      </w:r>
      <w:r w:rsidRPr="005A1D53">
        <w:rPr>
          <w:color w:val="141314"/>
          <w:sz w:val="24"/>
        </w:rPr>
        <w:t>10.1016/j.aca..02.006.</w:t>
      </w:r>
    </w:p>
    <w:p w:rsidR="00EA1875" w:rsidRPr="005A1D53" w:rsidRDefault="00EA1875" w:rsidP="00562213">
      <w:pPr>
        <w:autoSpaceDE w:val="0"/>
        <w:autoSpaceDN w:val="0"/>
        <w:adjustRightInd w:val="0"/>
        <w:ind w:left="567" w:hanging="567"/>
        <w:jc w:val="both"/>
        <w:rPr>
          <w:color w:val="141314"/>
        </w:rPr>
      </w:pPr>
      <w:r w:rsidRPr="005A1D53">
        <w:rPr>
          <w:color w:val="141314"/>
        </w:rPr>
        <w:t>Singh, U. K., Kumar, M., Chauhan, R., Jha, P. K., AL. Ramanathan &amp; Subramanian, V. (2008). Assessment of the impact of landfill on groundwater quality: A case study of the Pirana site in western India, Environ Monit Assess 141:309–321, doi: 10.1007/s10661-007-9897-6.</w:t>
      </w:r>
    </w:p>
    <w:p w:rsidR="00EA1875" w:rsidRPr="005A1D53" w:rsidRDefault="00EA1875" w:rsidP="00562213">
      <w:pPr>
        <w:autoSpaceDE w:val="0"/>
        <w:autoSpaceDN w:val="0"/>
        <w:adjustRightInd w:val="0"/>
        <w:ind w:left="567" w:hanging="567"/>
        <w:jc w:val="both"/>
        <w:rPr>
          <w:color w:val="131413"/>
        </w:rPr>
      </w:pPr>
      <w:r w:rsidRPr="005A1D53">
        <w:rPr>
          <w:color w:val="131413"/>
        </w:rPr>
        <w:t>Sojka, M., Siepak, M., Zioła, A., Frankowski, M., Murat-Błażejewska, S., Siepak, J. (2008). Application of multivariate statistical techniques to evaluation of water quality in the Mała Wełna River (Western Poland), Environ Monit Assess (2008) 147:159–170, doi: 10.1007/s10661-007-0107-3.</w:t>
      </w:r>
    </w:p>
    <w:p w:rsidR="00EA1875" w:rsidRPr="005A1D53" w:rsidRDefault="00EA1875" w:rsidP="00562213">
      <w:pPr>
        <w:pStyle w:val="reference"/>
        <w:ind w:left="567" w:hanging="567"/>
        <w:jc w:val="both"/>
        <w:rPr>
          <w:color w:val="141314"/>
          <w:sz w:val="24"/>
        </w:rPr>
      </w:pPr>
      <w:r w:rsidRPr="005A1D53">
        <w:rPr>
          <w:color w:val="141314"/>
          <w:sz w:val="24"/>
        </w:rPr>
        <w:t xml:space="preserve">Vega, M., Pardo, R., Barrado, E., &amp; Deban, L. (1998). Assessment of seasonal and polluting effects on the qualityof river water by exploratory data analysis. </w:t>
      </w:r>
      <w:r w:rsidRPr="005A1D53">
        <w:rPr>
          <w:i/>
          <w:iCs/>
          <w:color w:val="141314"/>
          <w:sz w:val="24"/>
        </w:rPr>
        <w:t>Water Research</w:t>
      </w:r>
      <w:r w:rsidRPr="005A1D53">
        <w:rPr>
          <w:color w:val="141314"/>
          <w:sz w:val="24"/>
        </w:rPr>
        <w:t>, 32, 3581–3592. doi:10.1016/S0043- 1354(98)00138-9.</w:t>
      </w:r>
    </w:p>
    <w:p w:rsidR="00EA1875" w:rsidRPr="005A1D53" w:rsidRDefault="00EA1875" w:rsidP="00562213">
      <w:pPr>
        <w:pStyle w:val="reference"/>
        <w:ind w:left="567" w:hanging="567"/>
        <w:jc w:val="both"/>
        <w:rPr>
          <w:color w:val="141314"/>
          <w:sz w:val="24"/>
        </w:rPr>
      </w:pPr>
      <w:r w:rsidRPr="005A1D53">
        <w:rPr>
          <w:color w:val="141314"/>
          <w:sz w:val="24"/>
        </w:rPr>
        <w:t xml:space="preserve">Wunderlin, D. A., Diaz, M. P., Ame, M. V., Pesce, S. F., Hued, A. C., &amp; Bistoni, M. A. (2001). Pattern recognition techniques for the evaluation of spatial and temporal variations in water quality. A case study: Suquia river basin (Cordoba, Argentina). </w:t>
      </w:r>
      <w:r w:rsidRPr="005A1D53">
        <w:rPr>
          <w:i/>
          <w:iCs/>
          <w:color w:val="141314"/>
          <w:sz w:val="24"/>
        </w:rPr>
        <w:t>Water Research</w:t>
      </w:r>
      <w:r w:rsidRPr="005A1D53">
        <w:rPr>
          <w:color w:val="141314"/>
          <w:sz w:val="24"/>
        </w:rPr>
        <w:t>, 35, 2881–2894. doi:10.1016/S0043-1354(00) 00592-3.</w:t>
      </w:r>
    </w:p>
    <w:p w:rsidR="00EA1875" w:rsidRPr="005A1D53" w:rsidRDefault="00EA1875" w:rsidP="00562213">
      <w:pPr>
        <w:pStyle w:val="reference"/>
        <w:ind w:left="567" w:hanging="567"/>
        <w:jc w:val="both"/>
        <w:rPr>
          <w:color w:val="141314"/>
          <w:sz w:val="24"/>
        </w:rPr>
      </w:pPr>
      <w:r w:rsidRPr="005A1D53">
        <w:rPr>
          <w:color w:val="141314"/>
          <w:sz w:val="24"/>
        </w:rPr>
        <w:t xml:space="preserve">Yu, S., Shang, J., Zhao, J., &amp; Guo, H. (2003). Factor analysis and dynamics of water quality of the Songhua River Northeast China. </w:t>
      </w:r>
      <w:r w:rsidRPr="005A1D53">
        <w:rPr>
          <w:i/>
          <w:iCs/>
          <w:color w:val="141314"/>
          <w:sz w:val="24"/>
        </w:rPr>
        <w:t>Water, Air, and Soil Pollution</w:t>
      </w:r>
      <w:r w:rsidRPr="005A1D53">
        <w:rPr>
          <w:color w:val="141314"/>
          <w:sz w:val="24"/>
        </w:rPr>
        <w:t>, 144, 159–169.</w:t>
      </w:r>
    </w:p>
    <w:p w:rsidR="00EA1875" w:rsidRPr="005A1D53" w:rsidRDefault="00EA1875" w:rsidP="00562213">
      <w:pPr>
        <w:autoSpaceDE w:val="0"/>
        <w:autoSpaceDN w:val="0"/>
        <w:adjustRightInd w:val="0"/>
        <w:ind w:left="567" w:hanging="567"/>
        <w:jc w:val="both"/>
        <w:rPr>
          <w:color w:val="131413"/>
        </w:rPr>
      </w:pPr>
      <w:r w:rsidRPr="005A1D53">
        <w:rPr>
          <w:color w:val="131413"/>
        </w:rPr>
        <w:t xml:space="preserve">Zhang, Q., Li, Z., Zeng, G., Li, J., Fang, Y., Yuan, Q., Wang, Y., Ye, F. (2009). Assessment of surface water quality using multivariate statistical techniques in red soil hilly region: a case study of Xiangjiang watershed, China, </w:t>
      </w:r>
      <w:r w:rsidRPr="005A1D53">
        <w:rPr>
          <w:i/>
          <w:iCs/>
          <w:color w:val="131413"/>
        </w:rPr>
        <w:t>Environ Monit Assess</w:t>
      </w:r>
      <w:r w:rsidRPr="005A1D53">
        <w:rPr>
          <w:color w:val="131413"/>
        </w:rPr>
        <w:t>, 152:123–131, doi: 10.1007/s10661-008-0301-y.</w:t>
      </w:r>
    </w:p>
    <w:sectPr w:rsidR="00EA1875" w:rsidRPr="005A1D53" w:rsidSect="00483A61">
      <w:headerReference w:type="even" r:id="rId15"/>
      <w:headerReference w:type="default" r:id="rId16"/>
      <w:pgSz w:w="11907" w:h="16840" w:code="9"/>
      <w:pgMar w:top="1247" w:right="1797" w:bottom="1440" w:left="1797" w:header="720" w:footer="720" w:gutter="0"/>
      <w:pgNumType w:start="45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75" w:rsidRDefault="00EA1875">
      <w:r>
        <w:separator/>
      </w:r>
    </w:p>
  </w:endnote>
  <w:endnote w:type="continuationSeparator" w:id="0">
    <w:p w:rsidR="00EA1875" w:rsidRDefault="00EA18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MS Mincho">
    <w:altName w:val="?l?r ??پfc"/>
    <w:panose1 w:val="02020609040205080304"/>
    <w:charset w:val="80"/>
    <w:family w:val="modern"/>
    <w:pitch w:val="fixed"/>
    <w:sig w:usb0="E00002FF" w:usb1="6AC7FDFB" w:usb2="00000012" w:usb3="00000000" w:csb0="0002009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AdvP4C4E74">
    <w:altName w:val="Times New Roman"/>
    <w:panose1 w:val="00000000000000000000"/>
    <w:charset w:val="00"/>
    <w:family w:val="auto"/>
    <w:notTrueType/>
    <w:pitch w:val="default"/>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75" w:rsidRDefault="00EA1875">
      <w:r>
        <w:separator/>
      </w:r>
    </w:p>
  </w:footnote>
  <w:footnote w:type="continuationSeparator" w:id="0">
    <w:p w:rsidR="00EA1875" w:rsidRDefault="00EA1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75" w:rsidRPr="004F6B22" w:rsidRDefault="00EA1875" w:rsidP="005B2C41">
    <w:pPr>
      <w:pStyle w:val="Header"/>
      <w:ind w:firstLine="32"/>
      <w:jc w:val="center"/>
      <w:rPr>
        <w:rFonts w:ascii="Trebuchet MS" w:hAnsi="Trebuchet MS" w:cs="Arial Unicode MS"/>
        <w:b/>
        <w:bCs/>
        <w:sz w:val="22"/>
        <w:szCs w:val="22"/>
        <w:lang w:bidi="ar-IQ"/>
      </w:rPr>
    </w:pPr>
    <w:r w:rsidRPr="004567A0">
      <w:rPr>
        <w:sz w:val="22"/>
        <w:szCs w:val="22"/>
      </w:rPr>
      <w:t>Journal of Babylon University/Engineering Sciences/ No.(2)/ Vol.(22): 2014</w:t>
    </w:r>
  </w:p>
  <w:p w:rsidR="00EA1875" w:rsidRPr="004F6B22" w:rsidRDefault="00EA1875" w:rsidP="005B2C41">
    <w:pPr>
      <w:pStyle w:val="Header"/>
      <w:ind w:right="-335" w:hanging="567"/>
      <w:rPr>
        <w:rFonts w:ascii="Trebuchet MS" w:hAnsi="Trebuchet MS" w:cs="Arial Unicode MS"/>
        <w:b/>
        <w:bCs/>
        <w:lang w:bidi="ar-IQ"/>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75" w:rsidRDefault="00EA1875" w:rsidP="005B2C41">
    <w:pPr>
      <w:pStyle w:val="Header"/>
      <w:ind w:right="-335" w:hanging="567"/>
      <w:jc w:val="center"/>
      <w:rPr>
        <w:rFonts w:ascii="Trebuchet MS" w:hAnsi="Trebuchet MS" w:cs="Arial Unicode MS"/>
        <w:b/>
        <w:bCs/>
        <w:lang w:bidi="ar-IQ"/>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2) / المجلد (22) : 201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165"/>
    <w:multiLevelType w:val="hybridMultilevel"/>
    <w:tmpl w:val="158854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C82762"/>
    <w:multiLevelType w:val="hybridMultilevel"/>
    <w:tmpl w:val="0B8A1B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32A610D"/>
    <w:multiLevelType w:val="hybridMultilevel"/>
    <w:tmpl w:val="5A3069EE"/>
    <w:lvl w:ilvl="0" w:tplc="E25434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7E5720"/>
    <w:multiLevelType w:val="hybridMultilevel"/>
    <w:tmpl w:val="8CA0447C"/>
    <w:lvl w:ilvl="0" w:tplc="C098005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92716EF"/>
    <w:multiLevelType w:val="hybridMultilevel"/>
    <w:tmpl w:val="F65479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B79"/>
    <w:rsid w:val="0002551E"/>
    <w:rsid w:val="0004764B"/>
    <w:rsid w:val="0005727E"/>
    <w:rsid w:val="00070B19"/>
    <w:rsid w:val="0007631C"/>
    <w:rsid w:val="00077689"/>
    <w:rsid w:val="0008439C"/>
    <w:rsid w:val="000857D0"/>
    <w:rsid w:val="000A68F7"/>
    <w:rsid w:val="000D090D"/>
    <w:rsid w:val="000E3D6F"/>
    <w:rsid w:val="000E5669"/>
    <w:rsid w:val="000F3043"/>
    <w:rsid w:val="000F7E59"/>
    <w:rsid w:val="0012540E"/>
    <w:rsid w:val="001621B3"/>
    <w:rsid w:val="0016301E"/>
    <w:rsid w:val="00164D77"/>
    <w:rsid w:val="001A59B7"/>
    <w:rsid w:val="001D6301"/>
    <w:rsid w:val="001E0458"/>
    <w:rsid w:val="001E06EA"/>
    <w:rsid w:val="001F2EAD"/>
    <w:rsid w:val="001F6951"/>
    <w:rsid w:val="002139C4"/>
    <w:rsid w:val="00214FF8"/>
    <w:rsid w:val="00233D47"/>
    <w:rsid w:val="002518DD"/>
    <w:rsid w:val="002812F1"/>
    <w:rsid w:val="0029515A"/>
    <w:rsid w:val="002A10DB"/>
    <w:rsid w:val="002A4E77"/>
    <w:rsid w:val="002B314B"/>
    <w:rsid w:val="002B72A0"/>
    <w:rsid w:val="002C7BC3"/>
    <w:rsid w:val="002E4585"/>
    <w:rsid w:val="002E56B1"/>
    <w:rsid w:val="002E6166"/>
    <w:rsid w:val="0030535D"/>
    <w:rsid w:val="00307B45"/>
    <w:rsid w:val="00317ED3"/>
    <w:rsid w:val="003351BA"/>
    <w:rsid w:val="003417DC"/>
    <w:rsid w:val="0034220F"/>
    <w:rsid w:val="00347A18"/>
    <w:rsid w:val="003568DE"/>
    <w:rsid w:val="003932D7"/>
    <w:rsid w:val="00396726"/>
    <w:rsid w:val="003E0013"/>
    <w:rsid w:val="003E54D4"/>
    <w:rsid w:val="00403103"/>
    <w:rsid w:val="0040329F"/>
    <w:rsid w:val="0044002A"/>
    <w:rsid w:val="00452565"/>
    <w:rsid w:val="004567A0"/>
    <w:rsid w:val="00461894"/>
    <w:rsid w:val="004826EE"/>
    <w:rsid w:val="00483A61"/>
    <w:rsid w:val="004C0309"/>
    <w:rsid w:val="004D6D11"/>
    <w:rsid w:val="004F48D2"/>
    <w:rsid w:val="004F4E00"/>
    <w:rsid w:val="004F5A77"/>
    <w:rsid w:val="004F6B22"/>
    <w:rsid w:val="004F72EA"/>
    <w:rsid w:val="005024D8"/>
    <w:rsid w:val="00507C29"/>
    <w:rsid w:val="00515590"/>
    <w:rsid w:val="00516E84"/>
    <w:rsid w:val="0052084B"/>
    <w:rsid w:val="00523B90"/>
    <w:rsid w:val="00524208"/>
    <w:rsid w:val="00534BA6"/>
    <w:rsid w:val="005370BC"/>
    <w:rsid w:val="0056121D"/>
    <w:rsid w:val="00562213"/>
    <w:rsid w:val="00587D46"/>
    <w:rsid w:val="00594965"/>
    <w:rsid w:val="005A1D53"/>
    <w:rsid w:val="005B2C41"/>
    <w:rsid w:val="005B587B"/>
    <w:rsid w:val="005E33BA"/>
    <w:rsid w:val="005F7C78"/>
    <w:rsid w:val="006019D1"/>
    <w:rsid w:val="006125C0"/>
    <w:rsid w:val="00612A94"/>
    <w:rsid w:val="006156EF"/>
    <w:rsid w:val="00617EF7"/>
    <w:rsid w:val="006304D5"/>
    <w:rsid w:val="00631193"/>
    <w:rsid w:val="0063275A"/>
    <w:rsid w:val="006679E0"/>
    <w:rsid w:val="006A19E3"/>
    <w:rsid w:val="006B2B20"/>
    <w:rsid w:val="00714E54"/>
    <w:rsid w:val="00726A9F"/>
    <w:rsid w:val="00732AFA"/>
    <w:rsid w:val="0073436C"/>
    <w:rsid w:val="007659A5"/>
    <w:rsid w:val="007730A2"/>
    <w:rsid w:val="007839DD"/>
    <w:rsid w:val="00786777"/>
    <w:rsid w:val="007B3F64"/>
    <w:rsid w:val="007B64E6"/>
    <w:rsid w:val="007C00D8"/>
    <w:rsid w:val="007C0ECB"/>
    <w:rsid w:val="007D4D3B"/>
    <w:rsid w:val="007F3419"/>
    <w:rsid w:val="00821502"/>
    <w:rsid w:val="008271E4"/>
    <w:rsid w:val="00834E12"/>
    <w:rsid w:val="008458A9"/>
    <w:rsid w:val="008615AF"/>
    <w:rsid w:val="008860AC"/>
    <w:rsid w:val="008A48E3"/>
    <w:rsid w:val="008A5B70"/>
    <w:rsid w:val="008B5595"/>
    <w:rsid w:val="008E11A1"/>
    <w:rsid w:val="008F1915"/>
    <w:rsid w:val="008F392A"/>
    <w:rsid w:val="0090430D"/>
    <w:rsid w:val="009245F1"/>
    <w:rsid w:val="00941423"/>
    <w:rsid w:val="009441F9"/>
    <w:rsid w:val="009456B3"/>
    <w:rsid w:val="00964CCE"/>
    <w:rsid w:val="0098647F"/>
    <w:rsid w:val="009A5FCE"/>
    <w:rsid w:val="009B20E7"/>
    <w:rsid w:val="009D25BD"/>
    <w:rsid w:val="009D6A97"/>
    <w:rsid w:val="009F603E"/>
    <w:rsid w:val="00A34C78"/>
    <w:rsid w:val="00A41493"/>
    <w:rsid w:val="00A7245E"/>
    <w:rsid w:val="00A8375C"/>
    <w:rsid w:val="00A84B79"/>
    <w:rsid w:val="00A879C3"/>
    <w:rsid w:val="00A95E42"/>
    <w:rsid w:val="00AA530E"/>
    <w:rsid w:val="00AC4405"/>
    <w:rsid w:val="00AC4E57"/>
    <w:rsid w:val="00AC53E0"/>
    <w:rsid w:val="00AE1652"/>
    <w:rsid w:val="00AE54C8"/>
    <w:rsid w:val="00AE5501"/>
    <w:rsid w:val="00AE745A"/>
    <w:rsid w:val="00AF1984"/>
    <w:rsid w:val="00B02A3C"/>
    <w:rsid w:val="00B76274"/>
    <w:rsid w:val="00B8447F"/>
    <w:rsid w:val="00BA1723"/>
    <w:rsid w:val="00BE5095"/>
    <w:rsid w:val="00C041A3"/>
    <w:rsid w:val="00C06D87"/>
    <w:rsid w:val="00C24E70"/>
    <w:rsid w:val="00C2517E"/>
    <w:rsid w:val="00C26B76"/>
    <w:rsid w:val="00C302E7"/>
    <w:rsid w:val="00C43892"/>
    <w:rsid w:val="00C534D0"/>
    <w:rsid w:val="00C61267"/>
    <w:rsid w:val="00C6323B"/>
    <w:rsid w:val="00C86424"/>
    <w:rsid w:val="00C91B7B"/>
    <w:rsid w:val="00CA5089"/>
    <w:rsid w:val="00CB18B2"/>
    <w:rsid w:val="00CB7562"/>
    <w:rsid w:val="00CC27C5"/>
    <w:rsid w:val="00CE6B1E"/>
    <w:rsid w:val="00CE79B6"/>
    <w:rsid w:val="00D02342"/>
    <w:rsid w:val="00D16381"/>
    <w:rsid w:val="00D17495"/>
    <w:rsid w:val="00D42F79"/>
    <w:rsid w:val="00D50BA9"/>
    <w:rsid w:val="00D77EF9"/>
    <w:rsid w:val="00D91491"/>
    <w:rsid w:val="00D94365"/>
    <w:rsid w:val="00DA109B"/>
    <w:rsid w:val="00DB3613"/>
    <w:rsid w:val="00DB4EF0"/>
    <w:rsid w:val="00DD4817"/>
    <w:rsid w:val="00E03232"/>
    <w:rsid w:val="00E25354"/>
    <w:rsid w:val="00E43CE5"/>
    <w:rsid w:val="00E47899"/>
    <w:rsid w:val="00E578BA"/>
    <w:rsid w:val="00E625B5"/>
    <w:rsid w:val="00E75E18"/>
    <w:rsid w:val="00E76625"/>
    <w:rsid w:val="00E915DA"/>
    <w:rsid w:val="00E9464A"/>
    <w:rsid w:val="00EA1875"/>
    <w:rsid w:val="00EB0681"/>
    <w:rsid w:val="00EB2763"/>
    <w:rsid w:val="00EB467E"/>
    <w:rsid w:val="00EC0927"/>
    <w:rsid w:val="00EC1D58"/>
    <w:rsid w:val="00EC6F17"/>
    <w:rsid w:val="00ED02B5"/>
    <w:rsid w:val="00EF336C"/>
    <w:rsid w:val="00F2685F"/>
    <w:rsid w:val="00F31A1F"/>
    <w:rsid w:val="00F36D7C"/>
    <w:rsid w:val="00F40128"/>
    <w:rsid w:val="00F47820"/>
    <w:rsid w:val="00F52041"/>
    <w:rsid w:val="00F55C6D"/>
    <w:rsid w:val="00F63042"/>
    <w:rsid w:val="00F65989"/>
    <w:rsid w:val="00FA4C98"/>
    <w:rsid w:val="00FB6CA2"/>
    <w:rsid w:val="00FC716F"/>
    <w:rsid w:val="00FE4431"/>
    <w:rsid w:val="00FF176E"/>
    <w:rsid w:val="00FF6E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1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245E"/>
    <w:pPr>
      <w:tabs>
        <w:tab w:val="center" w:pos="4536"/>
        <w:tab w:val="right" w:pos="9072"/>
      </w:tabs>
    </w:pPr>
    <w:rPr>
      <w:szCs w:val="20"/>
      <w:lang w:eastAsia="de-DE"/>
    </w:rPr>
  </w:style>
  <w:style w:type="character" w:customStyle="1" w:styleId="HeaderChar">
    <w:name w:val="Header Char"/>
    <w:basedOn w:val="DefaultParagraphFont"/>
    <w:link w:val="Header"/>
    <w:uiPriority w:val="99"/>
    <w:locked/>
    <w:rsid w:val="00F31A1F"/>
    <w:rPr>
      <w:rFonts w:cs="Times New Roman"/>
      <w:sz w:val="24"/>
      <w:lang w:eastAsia="de-DE"/>
    </w:rPr>
  </w:style>
  <w:style w:type="paragraph" w:styleId="Footer">
    <w:name w:val="footer"/>
    <w:basedOn w:val="Normal"/>
    <w:link w:val="FooterChar"/>
    <w:uiPriority w:val="99"/>
    <w:rsid w:val="00A7245E"/>
    <w:pPr>
      <w:tabs>
        <w:tab w:val="center" w:pos="4536"/>
        <w:tab w:val="right" w:pos="9072"/>
      </w:tabs>
    </w:pPr>
    <w:rPr>
      <w:szCs w:val="20"/>
      <w:lang w:eastAsia="de-DE"/>
    </w:rPr>
  </w:style>
  <w:style w:type="character" w:customStyle="1" w:styleId="FooterChar">
    <w:name w:val="Footer Char"/>
    <w:basedOn w:val="DefaultParagraphFont"/>
    <w:link w:val="Footer"/>
    <w:uiPriority w:val="99"/>
    <w:locked/>
    <w:rsid w:val="00F31A1F"/>
    <w:rPr>
      <w:rFonts w:cs="Times New Roman"/>
      <w:sz w:val="24"/>
      <w:lang w:eastAsia="de-DE"/>
    </w:rPr>
  </w:style>
  <w:style w:type="character" w:styleId="PageNumber">
    <w:name w:val="page number"/>
    <w:basedOn w:val="DefaultParagraphFont"/>
    <w:uiPriority w:val="99"/>
    <w:rsid w:val="00A7245E"/>
    <w:rPr>
      <w:rFonts w:cs="Times New Roman"/>
    </w:rPr>
  </w:style>
  <w:style w:type="paragraph" w:customStyle="1" w:styleId="abbreviations">
    <w:name w:val="abbreviations"/>
    <w:basedOn w:val="abstract"/>
    <w:next w:val="Normal"/>
    <w:uiPriority w:val="99"/>
    <w:rsid w:val="00A7245E"/>
    <w:pPr>
      <w:tabs>
        <w:tab w:val="left" w:pos="3402"/>
      </w:tabs>
      <w:ind w:left="3402" w:hanging="3402"/>
    </w:pPr>
  </w:style>
  <w:style w:type="paragraph" w:customStyle="1" w:styleId="Title1">
    <w:name w:val="Title1"/>
    <w:basedOn w:val="Normal"/>
    <w:next w:val="author"/>
    <w:uiPriority w:val="99"/>
    <w:rsid w:val="00A7245E"/>
    <w:rPr>
      <w:rFonts w:ascii="Arial" w:hAnsi="Arial"/>
      <w:b/>
      <w:sz w:val="36"/>
    </w:rPr>
  </w:style>
  <w:style w:type="paragraph" w:customStyle="1" w:styleId="heading1">
    <w:name w:val="heading1"/>
    <w:basedOn w:val="Normal"/>
    <w:next w:val="Normal"/>
    <w:uiPriority w:val="99"/>
    <w:rsid w:val="00A7245E"/>
    <w:pPr>
      <w:keepNext/>
      <w:spacing w:before="240" w:after="180"/>
    </w:pPr>
    <w:rPr>
      <w:rFonts w:ascii="Arial" w:hAnsi="Arial"/>
      <w:b/>
      <w:sz w:val="32"/>
    </w:rPr>
  </w:style>
  <w:style w:type="paragraph" w:customStyle="1" w:styleId="heading2">
    <w:name w:val="heading2"/>
    <w:basedOn w:val="Normal"/>
    <w:next w:val="Normal"/>
    <w:uiPriority w:val="99"/>
    <w:rsid w:val="00A7245E"/>
    <w:pPr>
      <w:keepNext/>
      <w:spacing w:before="240" w:after="180"/>
    </w:pPr>
    <w:rPr>
      <w:rFonts w:ascii="Arial" w:hAnsi="Arial"/>
      <w:b/>
    </w:rPr>
  </w:style>
  <w:style w:type="paragraph" w:customStyle="1" w:styleId="heading3">
    <w:name w:val="heading3"/>
    <w:basedOn w:val="Normal"/>
    <w:next w:val="Normal"/>
    <w:uiPriority w:val="99"/>
    <w:rsid w:val="00A7245E"/>
    <w:pPr>
      <w:keepNext/>
      <w:spacing w:before="240" w:after="180"/>
    </w:pPr>
    <w:rPr>
      <w:rFonts w:ascii="Arial" w:hAnsi="Arial"/>
      <w:i/>
    </w:rPr>
  </w:style>
  <w:style w:type="paragraph" w:customStyle="1" w:styleId="run-in">
    <w:name w:val="run-in"/>
    <w:basedOn w:val="Normal"/>
    <w:next w:val="Normal"/>
    <w:uiPriority w:val="99"/>
    <w:rsid w:val="00A7245E"/>
    <w:pPr>
      <w:keepNext/>
      <w:spacing w:before="120"/>
    </w:pPr>
    <w:rPr>
      <w:b/>
    </w:rPr>
  </w:style>
  <w:style w:type="paragraph" w:customStyle="1" w:styleId="figurecitation">
    <w:name w:val="figurecitation"/>
    <w:basedOn w:val="Normal"/>
    <w:uiPriority w:val="99"/>
    <w:rsid w:val="00A7245E"/>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uiPriority w:val="99"/>
    <w:rsid w:val="00A7245E"/>
    <w:pPr>
      <w:spacing w:before="240"/>
    </w:pPr>
  </w:style>
  <w:style w:type="paragraph" w:customStyle="1" w:styleId="author">
    <w:name w:val="author"/>
    <w:basedOn w:val="Normal"/>
    <w:next w:val="affiliation"/>
    <w:uiPriority w:val="99"/>
    <w:rsid w:val="00A7245E"/>
    <w:pPr>
      <w:spacing w:before="120"/>
    </w:pPr>
  </w:style>
  <w:style w:type="paragraph" w:customStyle="1" w:styleId="affiliation">
    <w:name w:val="affiliation"/>
    <w:basedOn w:val="Normal"/>
    <w:next w:val="phone"/>
    <w:uiPriority w:val="99"/>
    <w:rsid w:val="00A7245E"/>
    <w:pPr>
      <w:spacing w:before="120"/>
    </w:pPr>
    <w:rPr>
      <w:i/>
    </w:rPr>
  </w:style>
  <w:style w:type="paragraph" w:customStyle="1" w:styleId="email">
    <w:name w:val="email"/>
    <w:basedOn w:val="Normal"/>
    <w:next w:val="url"/>
    <w:uiPriority w:val="99"/>
    <w:rsid w:val="00A7245E"/>
    <w:pPr>
      <w:spacing w:before="120"/>
    </w:pPr>
    <w:rPr>
      <w:sz w:val="20"/>
    </w:rPr>
  </w:style>
  <w:style w:type="paragraph" w:customStyle="1" w:styleId="phone">
    <w:name w:val="phone"/>
    <w:basedOn w:val="email"/>
    <w:next w:val="fax"/>
    <w:uiPriority w:val="99"/>
    <w:rsid w:val="00A7245E"/>
  </w:style>
  <w:style w:type="paragraph" w:customStyle="1" w:styleId="fax">
    <w:name w:val="fax"/>
    <w:basedOn w:val="email"/>
    <w:next w:val="email"/>
    <w:uiPriority w:val="99"/>
    <w:rsid w:val="00A7245E"/>
  </w:style>
  <w:style w:type="paragraph" w:customStyle="1" w:styleId="abstract">
    <w:name w:val="abstract"/>
    <w:basedOn w:val="Normal"/>
    <w:next w:val="keywords"/>
    <w:uiPriority w:val="99"/>
    <w:rsid w:val="00A7245E"/>
    <w:pPr>
      <w:spacing w:before="120"/>
    </w:pPr>
    <w:rPr>
      <w:sz w:val="20"/>
    </w:rPr>
  </w:style>
  <w:style w:type="paragraph" w:customStyle="1" w:styleId="keywords">
    <w:name w:val="keywords"/>
    <w:basedOn w:val="Normal"/>
    <w:next w:val="Normal"/>
    <w:uiPriority w:val="99"/>
    <w:rsid w:val="00A7245E"/>
    <w:pPr>
      <w:spacing w:before="120"/>
    </w:pPr>
    <w:rPr>
      <w:i/>
    </w:rPr>
  </w:style>
  <w:style w:type="paragraph" w:customStyle="1" w:styleId="extraaddress">
    <w:name w:val="extraaddress"/>
    <w:basedOn w:val="email"/>
    <w:uiPriority w:val="99"/>
    <w:rsid w:val="00A7245E"/>
  </w:style>
  <w:style w:type="paragraph" w:customStyle="1" w:styleId="reference">
    <w:name w:val="reference"/>
    <w:basedOn w:val="Normal"/>
    <w:uiPriority w:val="99"/>
    <w:rsid w:val="00A7245E"/>
    <w:rPr>
      <w:sz w:val="20"/>
    </w:rPr>
  </w:style>
  <w:style w:type="paragraph" w:customStyle="1" w:styleId="equation">
    <w:name w:val="equation"/>
    <w:basedOn w:val="Normal"/>
    <w:next w:val="Normal"/>
    <w:uiPriority w:val="99"/>
    <w:rsid w:val="00A7245E"/>
    <w:pPr>
      <w:spacing w:before="120" w:after="120"/>
      <w:jc w:val="center"/>
    </w:pPr>
  </w:style>
  <w:style w:type="paragraph" w:customStyle="1" w:styleId="articlenote">
    <w:name w:val="articlenote"/>
    <w:basedOn w:val="Normal"/>
    <w:next w:val="Normal"/>
    <w:uiPriority w:val="99"/>
    <w:rsid w:val="00A7245E"/>
    <w:rPr>
      <w:sz w:val="22"/>
    </w:rPr>
  </w:style>
  <w:style w:type="paragraph" w:customStyle="1" w:styleId="figlegend">
    <w:name w:val="figlegend"/>
    <w:basedOn w:val="Normal"/>
    <w:next w:val="Normal"/>
    <w:uiPriority w:val="99"/>
    <w:rsid w:val="00A7245E"/>
    <w:pPr>
      <w:spacing w:before="120"/>
    </w:pPr>
    <w:rPr>
      <w:sz w:val="20"/>
    </w:rPr>
  </w:style>
  <w:style w:type="paragraph" w:customStyle="1" w:styleId="tablelegend">
    <w:name w:val="tablelegend"/>
    <w:basedOn w:val="Normal"/>
    <w:next w:val="Normal"/>
    <w:uiPriority w:val="99"/>
    <w:rsid w:val="00A7245E"/>
    <w:pPr>
      <w:spacing w:before="120"/>
    </w:pPr>
    <w:rPr>
      <w:sz w:val="20"/>
    </w:rPr>
  </w:style>
  <w:style w:type="paragraph" w:customStyle="1" w:styleId="url">
    <w:name w:val="url"/>
    <w:basedOn w:val="email"/>
    <w:next w:val="Normal"/>
    <w:uiPriority w:val="99"/>
    <w:rsid w:val="00A7245E"/>
  </w:style>
  <w:style w:type="character" w:styleId="Hyperlink">
    <w:name w:val="Hyperlink"/>
    <w:basedOn w:val="DefaultParagraphFont"/>
    <w:uiPriority w:val="99"/>
    <w:rsid w:val="00F31A1F"/>
    <w:rPr>
      <w:rFonts w:cs="Times New Roman"/>
      <w:color w:val="0000FF"/>
      <w:u w:val="single"/>
    </w:rPr>
  </w:style>
  <w:style w:type="paragraph" w:customStyle="1" w:styleId="Default">
    <w:name w:val="Default"/>
    <w:uiPriority w:val="99"/>
    <w:rsid w:val="00F31A1F"/>
    <w:pPr>
      <w:autoSpaceDE w:val="0"/>
      <w:autoSpaceDN w:val="0"/>
      <w:adjustRightInd w:val="0"/>
    </w:pPr>
    <w:rPr>
      <w:color w:val="000000"/>
      <w:sz w:val="24"/>
      <w:szCs w:val="24"/>
    </w:rPr>
  </w:style>
  <w:style w:type="character" w:customStyle="1" w:styleId="hps">
    <w:name w:val="hps"/>
    <w:uiPriority w:val="99"/>
    <w:rsid w:val="00F31A1F"/>
  </w:style>
  <w:style w:type="character" w:customStyle="1" w:styleId="apple-converted-space">
    <w:name w:val="apple-converted-space"/>
    <w:uiPriority w:val="99"/>
    <w:rsid w:val="00F31A1F"/>
  </w:style>
  <w:style w:type="paragraph" w:styleId="Caption">
    <w:name w:val="caption"/>
    <w:basedOn w:val="Normal"/>
    <w:next w:val="Normal"/>
    <w:uiPriority w:val="99"/>
    <w:qFormat/>
    <w:rsid w:val="00F31A1F"/>
    <w:rPr>
      <w:b/>
      <w:bCs/>
      <w:sz w:val="20"/>
      <w:szCs w:val="20"/>
    </w:rPr>
  </w:style>
  <w:style w:type="paragraph" w:styleId="BalloonText">
    <w:name w:val="Balloon Text"/>
    <w:basedOn w:val="Normal"/>
    <w:link w:val="BalloonTextChar"/>
    <w:uiPriority w:val="99"/>
    <w:rsid w:val="00F31A1F"/>
    <w:rPr>
      <w:rFonts w:ascii="Tahoma" w:hAnsi="Tahoma" w:cs="Tahoma"/>
      <w:sz w:val="16"/>
      <w:szCs w:val="16"/>
    </w:rPr>
  </w:style>
  <w:style w:type="character" w:customStyle="1" w:styleId="BalloonTextChar">
    <w:name w:val="Balloon Text Char"/>
    <w:basedOn w:val="DefaultParagraphFont"/>
    <w:link w:val="BalloonText"/>
    <w:uiPriority w:val="99"/>
    <w:locked/>
    <w:rsid w:val="00F31A1F"/>
    <w:rPr>
      <w:rFonts w:ascii="Tahoma" w:hAnsi="Tahoma" w:cs="Tahoma"/>
      <w:sz w:val="16"/>
      <w:szCs w:val="16"/>
    </w:rPr>
  </w:style>
  <w:style w:type="paragraph" w:styleId="Title">
    <w:name w:val="Title"/>
    <w:basedOn w:val="Normal"/>
    <w:next w:val="Normal"/>
    <w:link w:val="TitleChar"/>
    <w:uiPriority w:val="99"/>
    <w:qFormat/>
    <w:rsid w:val="00F31A1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F31A1F"/>
    <w:rPr>
      <w:rFonts w:ascii="Cambria" w:hAnsi="Cambria" w:cs="Times New Roman"/>
      <w:color w:val="17365D"/>
      <w:spacing w:val="5"/>
      <w:kern w:val="28"/>
      <w:sz w:val="52"/>
      <w:szCs w:val="52"/>
    </w:rPr>
  </w:style>
  <w:style w:type="paragraph" w:styleId="ListParagraph">
    <w:name w:val="List Paragraph"/>
    <w:basedOn w:val="Normal"/>
    <w:uiPriority w:val="99"/>
    <w:qFormat/>
    <w:rsid w:val="009D6A97"/>
    <w:pPr>
      <w:ind w:left="720"/>
      <w:contextualSpacing/>
    </w:pPr>
  </w:style>
  <w:style w:type="character" w:customStyle="1" w:styleId="CharChar1">
    <w:name w:val="Char Char1"/>
    <w:basedOn w:val="DefaultParagraphFont"/>
    <w:uiPriority w:val="99"/>
    <w:rsid w:val="00562213"/>
    <w:rPr>
      <w:rFonts w:cs="Times New Roman"/>
    </w:rPr>
  </w:style>
  <w:style w:type="character" w:customStyle="1" w:styleId="CharChar2">
    <w:name w:val="Char Char2"/>
    <w:basedOn w:val="DefaultParagraphFont"/>
    <w:uiPriority w:val="99"/>
    <w:semiHidden/>
    <w:rsid w:val="004F6B22"/>
    <w:rPr>
      <w:rFonts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iraqmap.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an\Desktop\sv-jo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sv-journ</Template>
  <TotalTime>493</TotalTime>
  <Pages>13</Pages>
  <Words>4891</Words>
  <Characters>27880</Characters>
  <Application>Microsoft Office Outlook</Application>
  <DocSecurity>0</DocSecurity>
  <Lines>0</Lines>
  <Paragraphs>0</Paragraphs>
  <ScaleCrop>false</ScaleCrop>
  <Company>SPRINGER VERLAG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Hassan</dc:creator>
  <cp:keywords/>
  <dc:description>Springer Heidelberg 2005</dc:description>
  <cp:lastModifiedBy>JOURNAL</cp:lastModifiedBy>
  <cp:revision>36</cp:revision>
  <cp:lastPrinted>2014-06-23T06:23:00Z</cp:lastPrinted>
  <dcterms:created xsi:type="dcterms:W3CDTF">2012-09-16T06:42:00Z</dcterms:created>
  <dcterms:modified xsi:type="dcterms:W3CDTF">2014-06-23T06:23:00Z</dcterms:modified>
</cp:coreProperties>
</file>