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084" w:rsidRDefault="00222084" w:rsidP="00222084">
      <w:pPr>
        <w:pStyle w:val="a5"/>
        <w:numPr>
          <w:ilvl w:val="0"/>
          <w:numId w:val="3"/>
        </w:numPr>
        <w:jc w:val="lowKashida"/>
        <w:rPr>
          <w:b/>
          <w:bCs/>
          <w:sz w:val="28"/>
          <w:szCs w:val="28"/>
          <w:lang w:bidi="ar-IQ"/>
        </w:rPr>
      </w:pPr>
      <w:r>
        <w:rPr>
          <w:rFonts w:hint="cs"/>
          <w:b/>
          <w:bCs/>
          <w:sz w:val="28"/>
          <w:szCs w:val="28"/>
          <w:rtl/>
          <w:lang w:bidi="ar-IQ"/>
        </w:rPr>
        <w:t xml:space="preserve">الفكر النفسي  : </w:t>
      </w:r>
    </w:p>
    <w:p w:rsidR="00222084" w:rsidRDefault="00222084" w:rsidP="00222084">
      <w:pPr>
        <w:ind w:left="360"/>
        <w:jc w:val="lowKashida"/>
        <w:rPr>
          <w:sz w:val="28"/>
          <w:szCs w:val="28"/>
          <w:rtl/>
          <w:lang w:bidi="ar-IQ"/>
        </w:rPr>
      </w:pPr>
      <w:r>
        <w:rPr>
          <w:rFonts w:hint="cs"/>
          <w:sz w:val="28"/>
          <w:szCs w:val="28"/>
          <w:rtl/>
          <w:lang w:bidi="ar-IQ"/>
        </w:rPr>
        <w:t xml:space="preserve">      ومن ممثلي هذا </w:t>
      </w:r>
      <w:proofErr w:type="spellStart"/>
      <w:r>
        <w:rPr>
          <w:rFonts w:hint="cs"/>
          <w:sz w:val="28"/>
          <w:szCs w:val="28"/>
          <w:rtl/>
          <w:lang w:bidi="ar-IQ"/>
        </w:rPr>
        <w:t>الإتجاه</w:t>
      </w:r>
      <w:proofErr w:type="spellEnd"/>
      <w:r>
        <w:rPr>
          <w:rFonts w:hint="cs"/>
          <w:sz w:val="28"/>
          <w:szCs w:val="28"/>
          <w:rtl/>
          <w:lang w:bidi="ar-IQ"/>
        </w:rPr>
        <w:t xml:space="preserve"> (</w:t>
      </w:r>
      <w:proofErr w:type="spellStart"/>
      <w:r>
        <w:rPr>
          <w:rFonts w:hint="cs"/>
          <w:sz w:val="28"/>
          <w:szCs w:val="28"/>
          <w:rtl/>
          <w:lang w:bidi="ar-IQ"/>
        </w:rPr>
        <w:t>كوستاف</w:t>
      </w:r>
      <w:proofErr w:type="spellEnd"/>
      <w:r>
        <w:rPr>
          <w:rFonts w:hint="cs"/>
          <w:sz w:val="28"/>
          <w:szCs w:val="28"/>
          <w:rtl/>
          <w:lang w:bidi="ar-IQ"/>
        </w:rPr>
        <w:t xml:space="preserve"> </w:t>
      </w:r>
      <w:proofErr w:type="spellStart"/>
      <w:r>
        <w:rPr>
          <w:rFonts w:hint="cs"/>
          <w:sz w:val="28"/>
          <w:szCs w:val="28"/>
          <w:rtl/>
          <w:lang w:bidi="ar-IQ"/>
        </w:rPr>
        <w:t>لوبون</w:t>
      </w:r>
      <w:proofErr w:type="spellEnd"/>
      <w:r>
        <w:rPr>
          <w:rFonts w:hint="cs"/>
          <w:sz w:val="28"/>
          <w:szCs w:val="28"/>
          <w:rtl/>
          <w:lang w:bidi="ar-IQ"/>
        </w:rPr>
        <w:t xml:space="preserve">) , حيث يرى ان اعتقاد الجماعات يصطبغ بصبغة خاصة عبر عنها بالشعور الديني , ولهذا الشعور مميزات بسيطة للغاية كعبادة (ذات) يتوهم انها فوق الذوات والخوف من القوة التي يبطن بها والخضوع الأعمى لأوامرها واستحالة البحث في تعاليمها والرغبة في نشرها والنزوع الى معاداة من لا يقول بها , ومتى تكيف الشعور بهذه الصفة فهو من طبيعة الشعور الديني . </w:t>
      </w:r>
      <w:r w:rsidRPr="00B20501">
        <w:rPr>
          <w:rFonts w:hint="cs"/>
          <w:sz w:val="28"/>
          <w:szCs w:val="28"/>
          <w:vertAlign w:val="superscript"/>
          <w:rtl/>
          <w:lang w:bidi="ar-IQ"/>
        </w:rPr>
        <w:t>(</w:t>
      </w:r>
      <w:r w:rsidRPr="00B20501">
        <w:rPr>
          <w:rStyle w:val="a4"/>
          <w:sz w:val="28"/>
          <w:szCs w:val="28"/>
          <w:rtl/>
          <w:lang w:bidi="ar-IQ"/>
        </w:rPr>
        <w:footnoteReference w:id="1"/>
      </w:r>
      <w:r w:rsidRPr="00B20501">
        <w:rPr>
          <w:rFonts w:hint="cs"/>
          <w:sz w:val="28"/>
          <w:szCs w:val="28"/>
          <w:vertAlign w:val="superscript"/>
          <w:rtl/>
          <w:lang w:bidi="ar-IQ"/>
        </w:rPr>
        <w:t>)</w:t>
      </w:r>
      <w:r>
        <w:rPr>
          <w:rFonts w:hint="cs"/>
          <w:sz w:val="28"/>
          <w:szCs w:val="28"/>
          <w:rtl/>
          <w:lang w:bidi="ar-IQ"/>
        </w:rPr>
        <w:t xml:space="preserve">  </w:t>
      </w:r>
    </w:p>
    <w:p w:rsidR="00222084" w:rsidRDefault="00222084" w:rsidP="00222084">
      <w:pPr>
        <w:ind w:left="360"/>
        <w:jc w:val="lowKashida"/>
        <w:rPr>
          <w:sz w:val="28"/>
          <w:szCs w:val="28"/>
          <w:rtl/>
          <w:lang w:bidi="ar-IQ"/>
        </w:rPr>
      </w:pPr>
      <w:r>
        <w:rPr>
          <w:rFonts w:hint="cs"/>
          <w:sz w:val="28"/>
          <w:szCs w:val="28"/>
          <w:rtl/>
          <w:lang w:bidi="ar-IQ"/>
        </w:rPr>
        <w:t xml:space="preserve">    ويرى (</w:t>
      </w:r>
      <w:proofErr w:type="spellStart"/>
      <w:r>
        <w:rPr>
          <w:rFonts w:hint="cs"/>
          <w:sz w:val="28"/>
          <w:szCs w:val="28"/>
          <w:rtl/>
          <w:lang w:bidi="ar-IQ"/>
        </w:rPr>
        <w:t>برجسون</w:t>
      </w:r>
      <w:proofErr w:type="spellEnd"/>
      <w:r>
        <w:rPr>
          <w:rFonts w:hint="cs"/>
          <w:sz w:val="28"/>
          <w:szCs w:val="28"/>
          <w:rtl/>
          <w:lang w:bidi="ar-IQ"/>
        </w:rPr>
        <w:t xml:space="preserve">) فيما أشار اليه بالدين الديناميكي أو المتطور , بأن الدين من خلق انسان من صفوة البشر أو من نخبة الناس سما الى فكرة مثالية , وحاول أن ينبثق من أعماقه دين أو فكرة تفيض على الإنسانية كلها , وقد حقق بعض كمال الخلق من أمثال المسيح فكرة هذا الدين . </w:t>
      </w:r>
      <w:r w:rsidRPr="00166AA8">
        <w:rPr>
          <w:rFonts w:hint="cs"/>
          <w:sz w:val="28"/>
          <w:szCs w:val="28"/>
          <w:vertAlign w:val="superscript"/>
          <w:rtl/>
          <w:lang w:bidi="ar-IQ"/>
        </w:rPr>
        <w:t>(</w:t>
      </w:r>
      <w:r w:rsidRPr="00166AA8">
        <w:rPr>
          <w:rStyle w:val="a4"/>
          <w:sz w:val="28"/>
          <w:szCs w:val="28"/>
          <w:rtl/>
          <w:lang w:bidi="ar-IQ"/>
        </w:rPr>
        <w:footnoteReference w:id="2"/>
      </w:r>
      <w:r w:rsidRPr="00166AA8">
        <w:rPr>
          <w:rFonts w:hint="cs"/>
          <w:sz w:val="28"/>
          <w:szCs w:val="28"/>
          <w:vertAlign w:val="superscript"/>
          <w:rtl/>
          <w:lang w:bidi="ar-IQ"/>
        </w:rPr>
        <w:t>)</w:t>
      </w:r>
      <w:r>
        <w:rPr>
          <w:rFonts w:hint="cs"/>
          <w:sz w:val="28"/>
          <w:szCs w:val="28"/>
          <w:rtl/>
          <w:lang w:bidi="ar-IQ"/>
        </w:rPr>
        <w:t xml:space="preserve">  ويعرف </w:t>
      </w:r>
      <w:proofErr w:type="spellStart"/>
      <w:r>
        <w:rPr>
          <w:rFonts w:hint="cs"/>
          <w:sz w:val="28"/>
          <w:szCs w:val="28"/>
          <w:rtl/>
          <w:lang w:bidi="ar-IQ"/>
        </w:rPr>
        <w:t>ريفييل</w:t>
      </w:r>
      <w:proofErr w:type="spellEnd"/>
      <w:r>
        <w:rPr>
          <w:rFonts w:hint="cs"/>
          <w:sz w:val="28"/>
          <w:szCs w:val="28"/>
          <w:rtl/>
          <w:lang w:bidi="ar-IQ"/>
        </w:rPr>
        <w:t xml:space="preserve"> بأن الدين تحقيق الحياة الإنسانية بواسطة الإحساس بأن رباطاً يصل الروح الإنسانية بالنفس الخفية التي تعترف الأولى بما لها من سلطان على العالم وعليها والتي يجب ان تكون شاعرة </w:t>
      </w:r>
      <w:proofErr w:type="spellStart"/>
      <w:r>
        <w:rPr>
          <w:rFonts w:hint="cs"/>
          <w:sz w:val="28"/>
          <w:szCs w:val="28"/>
          <w:rtl/>
          <w:lang w:bidi="ar-IQ"/>
        </w:rPr>
        <w:t>بالإتصال</w:t>
      </w:r>
      <w:proofErr w:type="spellEnd"/>
      <w:r>
        <w:rPr>
          <w:rFonts w:hint="cs"/>
          <w:sz w:val="28"/>
          <w:szCs w:val="28"/>
          <w:rtl/>
          <w:lang w:bidi="ar-IQ"/>
        </w:rPr>
        <w:t xml:space="preserve"> بها دائماً , حيث يرى ان الدين هو ان تأسس الحياة على الإحساس برابطة تضم الروح البشرية مع الروح الخفية التي تُدرك سيطرتها على العالم وعلى الروح البشرية نفسها وتحب تلك الأرواح الخفية بعاطفة واحدة  .</w:t>
      </w:r>
      <w:r w:rsidRPr="00816499">
        <w:rPr>
          <w:rFonts w:hint="cs"/>
          <w:sz w:val="28"/>
          <w:szCs w:val="28"/>
          <w:vertAlign w:val="superscript"/>
          <w:rtl/>
          <w:lang w:bidi="ar-IQ"/>
        </w:rPr>
        <w:t>(</w:t>
      </w:r>
      <w:r w:rsidRPr="00816499">
        <w:rPr>
          <w:rStyle w:val="a4"/>
          <w:sz w:val="28"/>
          <w:szCs w:val="28"/>
          <w:rtl/>
          <w:lang w:bidi="ar-IQ"/>
        </w:rPr>
        <w:footnoteReference w:id="3"/>
      </w:r>
      <w:r w:rsidRPr="00816499">
        <w:rPr>
          <w:rFonts w:hint="cs"/>
          <w:sz w:val="28"/>
          <w:szCs w:val="28"/>
          <w:vertAlign w:val="superscript"/>
          <w:rtl/>
          <w:lang w:bidi="ar-IQ"/>
        </w:rPr>
        <w:t>)</w:t>
      </w:r>
      <w:r>
        <w:rPr>
          <w:rFonts w:hint="cs"/>
          <w:sz w:val="28"/>
          <w:szCs w:val="28"/>
          <w:rtl/>
          <w:lang w:bidi="ar-IQ"/>
        </w:rPr>
        <w:t xml:space="preserve"> </w:t>
      </w:r>
    </w:p>
    <w:p w:rsidR="00222084" w:rsidRDefault="00222084" w:rsidP="00222084">
      <w:pPr>
        <w:ind w:left="360"/>
        <w:jc w:val="lowKashida"/>
        <w:rPr>
          <w:sz w:val="28"/>
          <w:szCs w:val="28"/>
          <w:rtl/>
          <w:lang w:bidi="ar-IQ"/>
        </w:rPr>
      </w:pPr>
      <w:r>
        <w:rPr>
          <w:rFonts w:hint="cs"/>
          <w:sz w:val="28"/>
          <w:szCs w:val="28"/>
          <w:rtl/>
          <w:lang w:bidi="ar-IQ"/>
        </w:rPr>
        <w:t xml:space="preserve">ويعرف </w:t>
      </w:r>
      <w:proofErr w:type="spellStart"/>
      <w:r>
        <w:rPr>
          <w:rFonts w:hint="cs"/>
          <w:sz w:val="28"/>
          <w:szCs w:val="28"/>
          <w:rtl/>
          <w:lang w:bidi="ar-IQ"/>
        </w:rPr>
        <w:t>فويرباخ</w:t>
      </w:r>
      <w:proofErr w:type="spellEnd"/>
      <w:r>
        <w:rPr>
          <w:rFonts w:hint="cs"/>
          <w:sz w:val="28"/>
          <w:szCs w:val="28"/>
          <w:rtl/>
          <w:lang w:bidi="ar-IQ"/>
        </w:rPr>
        <w:t xml:space="preserve"> بأن الدين هو الغريزة التي تدفعنا نحو السعادة . </w:t>
      </w:r>
      <w:r w:rsidRPr="00816499">
        <w:rPr>
          <w:rFonts w:hint="cs"/>
          <w:sz w:val="28"/>
          <w:szCs w:val="28"/>
          <w:vertAlign w:val="superscript"/>
          <w:rtl/>
          <w:lang w:bidi="ar-IQ"/>
        </w:rPr>
        <w:t>(</w:t>
      </w:r>
      <w:r w:rsidRPr="00816499">
        <w:rPr>
          <w:rStyle w:val="a4"/>
          <w:sz w:val="28"/>
          <w:szCs w:val="28"/>
          <w:rtl/>
          <w:lang w:bidi="ar-IQ"/>
        </w:rPr>
        <w:footnoteReference w:id="4"/>
      </w:r>
      <w:r w:rsidRPr="00816499">
        <w:rPr>
          <w:rFonts w:hint="cs"/>
          <w:sz w:val="28"/>
          <w:szCs w:val="28"/>
          <w:vertAlign w:val="superscript"/>
          <w:rtl/>
          <w:lang w:bidi="ar-IQ"/>
        </w:rPr>
        <w:t>)</w:t>
      </w:r>
      <w:r>
        <w:rPr>
          <w:rFonts w:hint="cs"/>
          <w:sz w:val="28"/>
          <w:szCs w:val="28"/>
          <w:rtl/>
          <w:lang w:bidi="ar-IQ"/>
        </w:rPr>
        <w:t xml:space="preserve">    </w:t>
      </w:r>
    </w:p>
    <w:p w:rsidR="00222084" w:rsidRDefault="00222084" w:rsidP="00222084">
      <w:pPr>
        <w:pStyle w:val="a5"/>
        <w:numPr>
          <w:ilvl w:val="0"/>
          <w:numId w:val="3"/>
        </w:numPr>
        <w:jc w:val="lowKashida"/>
        <w:rPr>
          <w:b/>
          <w:bCs/>
          <w:sz w:val="28"/>
          <w:szCs w:val="28"/>
          <w:lang w:bidi="ar-IQ"/>
        </w:rPr>
      </w:pPr>
      <w:r>
        <w:rPr>
          <w:rFonts w:hint="cs"/>
          <w:b/>
          <w:bCs/>
          <w:sz w:val="28"/>
          <w:szCs w:val="28"/>
          <w:rtl/>
          <w:lang w:bidi="ar-IQ"/>
        </w:rPr>
        <w:t xml:space="preserve">الفكر الإحيائي : </w:t>
      </w:r>
    </w:p>
    <w:p w:rsidR="00222084" w:rsidRDefault="00222084" w:rsidP="00222084">
      <w:pPr>
        <w:pStyle w:val="a5"/>
        <w:jc w:val="lowKashida"/>
        <w:rPr>
          <w:b/>
          <w:bCs/>
          <w:sz w:val="28"/>
          <w:szCs w:val="28"/>
          <w:lang w:bidi="ar-IQ"/>
        </w:rPr>
      </w:pPr>
    </w:p>
    <w:p w:rsidR="00222084" w:rsidRPr="009D0165" w:rsidRDefault="00222084" w:rsidP="00222084">
      <w:pPr>
        <w:pStyle w:val="a5"/>
        <w:jc w:val="lowKashida"/>
        <w:rPr>
          <w:sz w:val="28"/>
          <w:szCs w:val="28"/>
          <w:rtl/>
          <w:lang w:bidi="ar-IQ"/>
        </w:rPr>
      </w:pPr>
      <w:r>
        <w:rPr>
          <w:rFonts w:hint="cs"/>
          <w:sz w:val="28"/>
          <w:szCs w:val="28"/>
          <w:rtl/>
          <w:lang w:bidi="ar-IQ"/>
        </w:rPr>
        <w:t xml:space="preserve">     ومن أهم أصحاب هذا الفكر (هربرت سبنسر) , الذي يرى بأن الدين هو الشعور بأننا نسبح في خضم من الأسرار , أو هو الإحساس الذي نشعر به حينما نغوص في بحر من الأسرار , وكذلك يرى (ماكس مولر) ان الدين هو الشعور اللانهائي , أو انه احساسنا باللامتناهي . </w:t>
      </w:r>
      <w:r w:rsidRPr="00136426">
        <w:rPr>
          <w:rFonts w:hint="cs"/>
          <w:sz w:val="28"/>
          <w:szCs w:val="28"/>
          <w:vertAlign w:val="superscript"/>
          <w:rtl/>
          <w:lang w:bidi="ar-IQ"/>
        </w:rPr>
        <w:t>(</w:t>
      </w:r>
      <w:r w:rsidRPr="00136426">
        <w:rPr>
          <w:rStyle w:val="a4"/>
          <w:sz w:val="28"/>
          <w:szCs w:val="28"/>
          <w:rtl/>
          <w:lang w:bidi="ar-IQ"/>
        </w:rPr>
        <w:footnoteReference w:id="5"/>
      </w:r>
      <w:r w:rsidRPr="00136426">
        <w:rPr>
          <w:rFonts w:hint="cs"/>
          <w:sz w:val="28"/>
          <w:szCs w:val="28"/>
          <w:vertAlign w:val="superscript"/>
          <w:rtl/>
          <w:lang w:bidi="ar-IQ"/>
        </w:rPr>
        <w:t>)</w:t>
      </w:r>
      <w:r>
        <w:rPr>
          <w:rFonts w:hint="cs"/>
          <w:sz w:val="28"/>
          <w:szCs w:val="28"/>
          <w:vertAlign w:val="superscript"/>
          <w:rtl/>
          <w:lang w:bidi="ar-IQ"/>
        </w:rPr>
        <w:t xml:space="preserve"> </w:t>
      </w:r>
      <w:r>
        <w:rPr>
          <w:rFonts w:hint="cs"/>
          <w:sz w:val="28"/>
          <w:szCs w:val="28"/>
          <w:rtl/>
          <w:lang w:bidi="ar-IQ"/>
        </w:rPr>
        <w:t xml:space="preserve">, </w:t>
      </w:r>
      <w:r w:rsidRPr="00136426">
        <w:rPr>
          <w:rFonts w:hint="cs"/>
          <w:sz w:val="28"/>
          <w:szCs w:val="28"/>
          <w:rtl/>
          <w:lang w:bidi="ar-IQ"/>
        </w:rPr>
        <w:t xml:space="preserve">ويرى (تايلور) الدين بأنه </w:t>
      </w:r>
      <w:proofErr w:type="spellStart"/>
      <w:r w:rsidRPr="00136426">
        <w:rPr>
          <w:rFonts w:hint="cs"/>
          <w:sz w:val="28"/>
          <w:szCs w:val="28"/>
          <w:rtl/>
          <w:lang w:bidi="ar-IQ"/>
        </w:rPr>
        <w:t>الإعتقاد</w:t>
      </w:r>
      <w:proofErr w:type="spellEnd"/>
      <w:r w:rsidRPr="00136426">
        <w:rPr>
          <w:rFonts w:hint="cs"/>
          <w:sz w:val="28"/>
          <w:szCs w:val="28"/>
          <w:rtl/>
          <w:lang w:bidi="ar-IQ"/>
        </w:rPr>
        <w:t xml:space="preserve"> في الكائنات الروحية أو </w:t>
      </w:r>
      <w:proofErr w:type="spellStart"/>
      <w:r w:rsidRPr="00136426">
        <w:rPr>
          <w:rFonts w:hint="cs"/>
          <w:sz w:val="28"/>
          <w:szCs w:val="28"/>
          <w:rtl/>
          <w:lang w:bidi="ar-IQ"/>
        </w:rPr>
        <w:t>الإعتقادات</w:t>
      </w:r>
      <w:proofErr w:type="spellEnd"/>
      <w:r w:rsidRPr="00136426">
        <w:rPr>
          <w:rFonts w:hint="cs"/>
          <w:sz w:val="28"/>
          <w:szCs w:val="28"/>
          <w:rtl/>
          <w:lang w:bidi="ar-IQ"/>
        </w:rPr>
        <w:t xml:space="preserve"> في الموجودات الروحية . </w:t>
      </w:r>
      <w:r w:rsidRPr="00136426">
        <w:rPr>
          <w:rFonts w:hint="cs"/>
          <w:sz w:val="28"/>
          <w:szCs w:val="28"/>
          <w:vertAlign w:val="superscript"/>
          <w:rtl/>
          <w:lang w:bidi="ar-IQ"/>
        </w:rPr>
        <w:t>(</w:t>
      </w:r>
      <w:r w:rsidRPr="00136426">
        <w:rPr>
          <w:rStyle w:val="a4"/>
          <w:sz w:val="28"/>
          <w:szCs w:val="28"/>
          <w:rtl/>
          <w:lang w:bidi="ar-IQ"/>
        </w:rPr>
        <w:footnoteReference w:id="6"/>
      </w:r>
      <w:r w:rsidRPr="00136426">
        <w:rPr>
          <w:rFonts w:hint="cs"/>
          <w:sz w:val="28"/>
          <w:szCs w:val="28"/>
          <w:vertAlign w:val="superscript"/>
          <w:rtl/>
          <w:lang w:bidi="ar-IQ"/>
        </w:rPr>
        <w:t>)</w:t>
      </w:r>
      <w:r w:rsidRPr="00136426">
        <w:rPr>
          <w:rFonts w:hint="cs"/>
          <w:sz w:val="28"/>
          <w:szCs w:val="28"/>
          <w:rtl/>
          <w:lang w:bidi="ar-IQ"/>
        </w:rPr>
        <w:t xml:space="preserve">  </w:t>
      </w:r>
    </w:p>
    <w:p w:rsidR="00222084" w:rsidRDefault="00222084" w:rsidP="00222084">
      <w:pPr>
        <w:jc w:val="lowKashida"/>
        <w:rPr>
          <w:sz w:val="28"/>
          <w:szCs w:val="28"/>
          <w:rtl/>
          <w:lang w:bidi="ar-IQ"/>
        </w:rPr>
      </w:pPr>
      <w:r>
        <w:rPr>
          <w:rFonts w:hint="cs"/>
          <w:sz w:val="28"/>
          <w:szCs w:val="28"/>
          <w:rtl/>
          <w:lang w:bidi="ar-IQ"/>
        </w:rPr>
        <w:t xml:space="preserve">          وبالرغم من تعدد المنطلقات الفكرية  واختلافات وجهات النظر في تناول ومعالجة   الظاهرة الدينية , فإن هناك شبه اجماع من جانب العلماء على تقسيم تعريفات الدين الى      ثلاث فئات رئيسية وهي كالآتي : </w:t>
      </w:r>
    </w:p>
    <w:p w:rsidR="00222084" w:rsidRPr="008C1881" w:rsidRDefault="00222084" w:rsidP="00222084">
      <w:pPr>
        <w:pStyle w:val="a5"/>
        <w:numPr>
          <w:ilvl w:val="0"/>
          <w:numId w:val="1"/>
        </w:numPr>
        <w:jc w:val="lowKashida"/>
        <w:rPr>
          <w:b/>
          <w:bCs/>
          <w:sz w:val="28"/>
          <w:szCs w:val="28"/>
          <w:lang w:bidi="ar-IQ"/>
        </w:rPr>
      </w:pPr>
      <w:r w:rsidRPr="008C1881">
        <w:rPr>
          <w:rFonts w:hint="cs"/>
          <w:b/>
          <w:bCs/>
          <w:sz w:val="28"/>
          <w:szCs w:val="28"/>
          <w:rtl/>
          <w:lang w:bidi="ar-IQ"/>
        </w:rPr>
        <w:t>تعريفات متعلقة بجوهر الدين .</w:t>
      </w:r>
      <w:r w:rsidRPr="008C1881">
        <w:rPr>
          <w:b/>
          <w:bCs/>
          <w:sz w:val="28"/>
          <w:szCs w:val="28"/>
          <w:lang w:bidi="ar-IQ"/>
        </w:rPr>
        <w:t xml:space="preserve">Substantive Definitions </w:t>
      </w:r>
    </w:p>
    <w:p w:rsidR="00222084" w:rsidRPr="008C1881" w:rsidRDefault="00222084" w:rsidP="00222084">
      <w:pPr>
        <w:pStyle w:val="a5"/>
        <w:numPr>
          <w:ilvl w:val="0"/>
          <w:numId w:val="1"/>
        </w:numPr>
        <w:jc w:val="lowKashida"/>
        <w:rPr>
          <w:b/>
          <w:bCs/>
          <w:sz w:val="28"/>
          <w:szCs w:val="28"/>
          <w:lang w:bidi="ar-IQ"/>
        </w:rPr>
      </w:pPr>
      <w:r w:rsidRPr="008C1881">
        <w:rPr>
          <w:rFonts w:hint="cs"/>
          <w:b/>
          <w:bCs/>
          <w:sz w:val="28"/>
          <w:szCs w:val="28"/>
          <w:rtl/>
          <w:lang w:bidi="ar-IQ"/>
        </w:rPr>
        <w:t>التعريف الوظيفي .</w:t>
      </w:r>
      <w:r w:rsidRPr="008C1881">
        <w:rPr>
          <w:b/>
          <w:bCs/>
          <w:sz w:val="28"/>
          <w:szCs w:val="28"/>
          <w:lang w:bidi="ar-IQ"/>
        </w:rPr>
        <w:t xml:space="preserve">Functional Definition </w:t>
      </w:r>
    </w:p>
    <w:p w:rsidR="00222084" w:rsidRDefault="00222084" w:rsidP="00222084">
      <w:pPr>
        <w:pStyle w:val="a5"/>
        <w:numPr>
          <w:ilvl w:val="0"/>
          <w:numId w:val="1"/>
        </w:numPr>
        <w:jc w:val="lowKashida"/>
        <w:rPr>
          <w:sz w:val="28"/>
          <w:szCs w:val="28"/>
          <w:lang w:bidi="ar-IQ"/>
        </w:rPr>
      </w:pPr>
      <w:r w:rsidRPr="008C1881">
        <w:rPr>
          <w:rFonts w:hint="cs"/>
          <w:b/>
          <w:bCs/>
          <w:sz w:val="28"/>
          <w:szCs w:val="28"/>
          <w:rtl/>
          <w:lang w:bidi="ar-IQ"/>
        </w:rPr>
        <w:t xml:space="preserve">التعريف الرمزي . </w:t>
      </w:r>
      <w:r w:rsidRPr="008C1881">
        <w:rPr>
          <w:b/>
          <w:bCs/>
          <w:sz w:val="28"/>
          <w:szCs w:val="28"/>
          <w:lang w:bidi="ar-IQ"/>
        </w:rPr>
        <w:t>Symbolic</w:t>
      </w:r>
      <w:r w:rsidRPr="008C1881">
        <w:rPr>
          <w:b/>
          <w:bCs/>
        </w:rPr>
        <w:t xml:space="preserve"> </w:t>
      </w:r>
      <w:r w:rsidRPr="008C1881">
        <w:rPr>
          <w:b/>
          <w:bCs/>
          <w:sz w:val="28"/>
          <w:szCs w:val="28"/>
          <w:lang w:bidi="ar-IQ"/>
        </w:rPr>
        <w:t>Definition</w:t>
      </w:r>
      <w:r w:rsidRPr="008C1881">
        <w:rPr>
          <w:sz w:val="28"/>
          <w:szCs w:val="28"/>
          <w:lang w:bidi="ar-IQ"/>
        </w:rPr>
        <w:t xml:space="preserve">  </w:t>
      </w:r>
    </w:p>
    <w:p w:rsidR="00222084" w:rsidRDefault="00222084" w:rsidP="00222084">
      <w:pPr>
        <w:pStyle w:val="a5"/>
        <w:ind w:left="644"/>
        <w:jc w:val="lowKashida"/>
        <w:rPr>
          <w:sz w:val="28"/>
          <w:szCs w:val="28"/>
          <w:lang w:bidi="ar-IQ"/>
        </w:rPr>
      </w:pPr>
    </w:p>
    <w:p w:rsidR="00222084" w:rsidRDefault="00222084" w:rsidP="00222084">
      <w:pPr>
        <w:pStyle w:val="a5"/>
        <w:numPr>
          <w:ilvl w:val="0"/>
          <w:numId w:val="2"/>
        </w:numPr>
        <w:jc w:val="lowKashida"/>
        <w:rPr>
          <w:b/>
          <w:bCs/>
          <w:sz w:val="28"/>
          <w:szCs w:val="28"/>
          <w:lang w:bidi="ar-IQ"/>
        </w:rPr>
      </w:pPr>
      <w:r w:rsidRPr="008C1881">
        <w:rPr>
          <w:rFonts w:hint="cs"/>
          <w:b/>
          <w:bCs/>
          <w:sz w:val="28"/>
          <w:szCs w:val="28"/>
          <w:rtl/>
          <w:lang w:bidi="ar-IQ"/>
        </w:rPr>
        <w:t xml:space="preserve">التعريفات المتعلقة بجوهر الدين </w:t>
      </w:r>
      <w:r>
        <w:rPr>
          <w:rFonts w:hint="cs"/>
          <w:b/>
          <w:bCs/>
          <w:sz w:val="28"/>
          <w:szCs w:val="28"/>
          <w:rtl/>
          <w:lang w:bidi="ar-IQ"/>
        </w:rPr>
        <w:t xml:space="preserve">: </w:t>
      </w:r>
    </w:p>
    <w:p w:rsidR="00222084" w:rsidRPr="000B1127" w:rsidRDefault="00222084" w:rsidP="00222084">
      <w:pPr>
        <w:pStyle w:val="a5"/>
        <w:jc w:val="lowKashida"/>
        <w:rPr>
          <w:sz w:val="28"/>
          <w:szCs w:val="28"/>
          <w:rtl/>
          <w:lang w:bidi="ar-IQ"/>
        </w:rPr>
      </w:pPr>
      <w:r>
        <w:rPr>
          <w:rFonts w:hint="cs"/>
          <w:sz w:val="28"/>
          <w:szCs w:val="28"/>
          <w:rtl/>
          <w:lang w:bidi="ar-IQ"/>
        </w:rPr>
        <w:t xml:space="preserve">       لتحديد جوهر الدين مداخل مختلفة , فمن العلماء من اتخذ </w:t>
      </w:r>
      <w:proofErr w:type="spellStart"/>
      <w:r>
        <w:rPr>
          <w:rFonts w:hint="cs"/>
          <w:sz w:val="28"/>
          <w:szCs w:val="28"/>
          <w:rtl/>
          <w:lang w:bidi="ar-IQ"/>
        </w:rPr>
        <w:t>الإعتقاد</w:t>
      </w:r>
      <w:proofErr w:type="spellEnd"/>
      <w:r>
        <w:rPr>
          <w:rFonts w:hint="cs"/>
          <w:sz w:val="28"/>
          <w:szCs w:val="28"/>
          <w:rtl/>
          <w:lang w:bidi="ar-IQ"/>
        </w:rPr>
        <w:t xml:space="preserve"> مدخلاً لتحديد جوهر الدين , وقد استخدم تايلور هذا </w:t>
      </w:r>
      <w:proofErr w:type="spellStart"/>
      <w:r>
        <w:rPr>
          <w:rFonts w:hint="cs"/>
          <w:sz w:val="28"/>
          <w:szCs w:val="28"/>
          <w:rtl/>
          <w:lang w:bidi="ar-IQ"/>
        </w:rPr>
        <w:t>الإتجاه</w:t>
      </w:r>
      <w:proofErr w:type="spellEnd"/>
      <w:r>
        <w:rPr>
          <w:rFonts w:hint="cs"/>
          <w:sz w:val="28"/>
          <w:szCs w:val="28"/>
          <w:rtl/>
          <w:lang w:bidi="ar-IQ"/>
        </w:rPr>
        <w:t xml:space="preserve"> منذ عام 1873عندما حدد الدين بأنه ( الاعتقاد بالكائنات الروحية ) , فنحن مرجعنا إله او آلهة وهذا هو العامل الأساسي في الدين , ويرجع استخدام تايلور لمفهوم الكائنات الروحية الى ان المجتمعات غير المتحضرة كان افرادها يؤمنون ويخشون أسلافهم الموتى , </w:t>
      </w:r>
      <w:proofErr w:type="spellStart"/>
      <w:r>
        <w:rPr>
          <w:rFonts w:hint="cs"/>
          <w:sz w:val="28"/>
          <w:szCs w:val="28"/>
          <w:rtl/>
          <w:lang w:bidi="ar-IQ"/>
        </w:rPr>
        <w:t>فإعتقادهم</w:t>
      </w:r>
      <w:proofErr w:type="spellEnd"/>
      <w:r>
        <w:rPr>
          <w:rFonts w:hint="cs"/>
          <w:sz w:val="28"/>
          <w:szCs w:val="28"/>
          <w:rtl/>
          <w:lang w:bidi="ar-IQ"/>
        </w:rPr>
        <w:t xml:space="preserve"> في الكائنات غير المرئية كان يفوق اعتقادهم في الإله , لذلك نظر</w:t>
      </w:r>
      <w:r w:rsidRPr="000B1127">
        <w:rPr>
          <w:rFonts w:hint="cs"/>
          <w:sz w:val="28"/>
          <w:szCs w:val="28"/>
          <w:rtl/>
          <w:lang w:bidi="ar-IQ"/>
        </w:rPr>
        <w:t xml:space="preserve"> تايلور الى ان الكائنات الروحية هي مفهوم اساسي عند البدائي , وكثير من الاجتماعيين المحدثين يؤيدون رأى تايلور في تأكيده على ان الدين ينطوي على </w:t>
      </w:r>
      <w:proofErr w:type="spellStart"/>
      <w:r w:rsidRPr="000B1127">
        <w:rPr>
          <w:rFonts w:hint="cs"/>
          <w:sz w:val="28"/>
          <w:szCs w:val="28"/>
          <w:rtl/>
          <w:lang w:bidi="ar-IQ"/>
        </w:rPr>
        <w:t>الإعتقاد</w:t>
      </w:r>
      <w:proofErr w:type="spellEnd"/>
      <w:r w:rsidRPr="000B1127">
        <w:rPr>
          <w:rFonts w:hint="cs"/>
          <w:sz w:val="28"/>
          <w:szCs w:val="28"/>
          <w:rtl/>
          <w:lang w:bidi="ar-IQ"/>
        </w:rPr>
        <w:t xml:space="preserve"> في كائن او كائنات لم تحس عن طريق العمليات الواقعية الطبيعية , في حين اشار ر . </w:t>
      </w:r>
      <w:proofErr w:type="spellStart"/>
      <w:r w:rsidRPr="000B1127">
        <w:rPr>
          <w:rFonts w:hint="cs"/>
          <w:sz w:val="28"/>
          <w:szCs w:val="28"/>
          <w:rtl/>
          <w:lang w:bidi="ar-IQ"/>
        </w:rPr>
        <w:t>ماريت</w:t>
      </w:r>
      <w:proofErr w:type="spellEnd"/>
      <w:r w:rsidRPr="000B1127">
        <w:rPr>
          <w:rFonts w:hint="cs"/>
          <w:sz w:val="28"/>
          <w:szCs w:val="28"/>
          <w:rtl/>
          <w:lang w:bidi="ar-IQ"/>
        </w:rPr>
        <w:t xml:space="preserve">  الى ان الدين في كثير من الثقافات حركة اكثر منه فكر , اي ان الطقوس والعواطف تحتل المركز الأول في الدين ثم يليها </w:t>
      </w:r>
      <w:proofErr w:type="spellStart"/>
      <w:r w:rsidRPr="000B1127">
        <w:rPr>
          <w:rFonts w:hint="cs"/>
          <w:sz w:val="28"/>
          <w:szCs w:val="28"/>
          <w:rtl/>
          <w:lang w:bidi="ar-IQ"/>
        </w:rPr>
        <w:t>الإعتقاد</w:t>
      </w:r>
      <w:proofErr w:type="spellEnd"/>
      <w:r w:rsidRPr="000B1127">
        <w:rPr>
          <w:rFonts w:hint="cs"/>
          <w:sz w:val="28"/>
          <w:szCs w:val="28"/>
          <w:rtl/>
          <w:lang w:bidi="ar-IQ"/>
        </w:rPr>
        <w:t xml:space="preserve"> , وقد أكد بعض الباحثين ان القول بأن </w:t>
      </w:r>
      <w:proofErr w:type="spellStart"/>
      <w:r w:rsidRPr="000B1127">
        <w:rPr>
          <w:rFonts w:hint="cs"/>
          <w:sz w:val="28"/>
          <w:szCs w:val="28"/>
          <w:rtl/>
          <w:lang w:bidi="ar-IQ"/>
        </w:rPr>
        <w:t>الإعتقاد</w:t>
      </w:r>
      <w:proofErr w:type="spellEnd"/>
      <w:r w:rsidRPr="000B1127">
        <w:rPr>
          <w:rFonts w:hint="cs"/>
          <w:sz w:val="28"/>
          <w:szCs w:val="28"/>
          <w:rtl/>
          <w:lang w:bidi="ar-IQ"/>
        </w:rPr>
        <w:t xml:space="preserve"> هو شيء أساسي في الدين أدى بكثير من </w:t>
      </w:r>
      <w:proofErr w:type="spellStart"/>
      <w:r w:rsidRPr="000B1127">
        <w:rPr>
          <w:rFonts w:hint="cs"/>
          <w:sz w:val="28"/>
          <w:szCs w:val="28"/>
          <w:rtl/>
          <w:lang w:bidi="ar-IQ"/>
        </w:rPr>
        <w:t>الأنثروبولوجيين</w:t>
      </w:r>
      <w:proofErr w:type="spellEnd"/>
      <w:r w:rsidRPr="000B1127">
        <w:rPr>
          <w:rFonts w:hint="cs"/>
          <w:sz w:val="28"/>
          <w:szCs w:val="28"/>
          <w:rtl/>
          <w:lang w:bidi="ar-IQ"/>
        </w:rPr>
        <w:t xml:space="preserve"> الى ان يفقدوا الوصول الى حقيقة جوهر الديانات غير الغربية , ويرى دوركهايم ان كل تجارب التقديس والشعور بالخشية من المقدس تكون دينية لذلك فالدين في رأيه هو نسق موحد من المعتقدات والممارسات المرتبطة بأشياء مقدسة هذه الأشياء تمثل مجموعة من الأوامر والنواهي .</w:t>
      </w:r>
      <w:r w:rsidRPr="000B1127">
        <w:rPr>
          <w:rFonts w:hint="cs"/>
          <w:sz w:val="28"/>
          <w:szCs w:val="28"/>
          <w:vertAlign w:val="superscript"/>
          <w:rtl/>
          <w:lang w:bidi="ar-IQ"/>
        </w:rPr>
        <w:t>(</w:t>
      </w:r>
      <w:r w:rsidRPr="00284636">
        <w:rPr>
          <w:rStyle w:val="a4"/>
          <w:sz w:val="28"/>
          <w:szCs w:val="28"/>
          <w:lang w:bidi="ar-IQ"/>
        </w:rPr>
        <w:footnoteReference w:id="7"/>
      </w:r>
      <w:r w:rsidRPr="000B1127">
        <w:rPr>
          <w:rFonts w:hint="cs"/>
          <w:sz w:val="28"/>
          <w:szCs w:val="28"/>
          <w:vertAlign w:val="superscript"/>
          <w:rtl/>
          <w:lang w:bidi="ar-IQ"/>
        </w:rPr>
        <w:t>)</w:t>
      </w:r>
    </w:p>
    <w:p w:rsidR="00222084" w:rsidRPr="00F4509E" w:rsidRDefault="00222084" w:rsidP="00222084">
      <w:pPr>
        <w:jc w:val="lowKashida"/>
        <w:rPr>
          <w:sz w:val="28"/>
          <w:szCs w:val="28"/>
          <w:rtl/>
          <w:lang w:bidi="ar-IQ"/>
        </w:rPr>
      </w:pPr>
    </w:p>
    <w:p w:rsidR="00222084" w:rsidRDefault="00222084" w:rsidP="00222084">
      <w:pPr>
        <w:pStyle w:val="a5"/>
        <w:numPr>
          <w:ilvl w:val="0"/>
          <w:numId w:val="2"/>
        </w:numPr>
        <w:jc w:val="lowKashida"/>
        <w:rPr>
          <w:sz w:val="28"/>
          <w:szCs w:val="28"/>
          <w:lang w:bidi="ar-IQ"/>
        </w:rPr>
      </w:pPr>
      <w:r w:rsidRPr="00284636">
        <w:rPr>
          <w:rFonts w:hint="cs"/>
          <w:b/>
          <w:bCs/>
          <w:sz w:val="28"/>
          <w:szCs w:val="28"/>
          <w:rtl/>
          <w:lang w:bidi="ar-IQ"/>
        </w:rPr>
        <w:t>التعريف الوظيفي</w:t>
      </w:r>
      <w:r>
        <w:rPr>
          <w:rFonts w:hint="cs"/>
          <w:sz w:val="28"/>
          <w:szCs w:val="28"/>
          <w:rtl/>
          <w:lang w:bidi="ar-IQ"/>
        </w:rPr>
        <w:t xml:space="preserve"> : </w:t>
      </w:r>
    </w:p>
    <w:p w:rsidR="00222084" w:rsidRDefault="00222084" w:rsidP="00222084">
      <w:pPr>
        <w:pStyle w:val="a5"/>
        <w:jc w:val="lowKashida"/>
        <w:rPr>
          <w:sz w:val="28"/>
          <w:szCs w:val="28"/>
          <w:vertAlign w:val="superscript"/>
          <w:rtl/>
          <w:lang w:bidi="ar-IQ"/>
        </w:rPr>
      </w:pPr>
      <w:r>
        <w:rPr>
          <w:rFonts w:hint="cs"/>
          <w:sz w:val="28"/>
          <w:szCs w:val="28"/>
          <w:rtl/>
          <w:lang w:bidi="ar-IQ"/>
        </w:rPr>
        <w:t xml:space="preserve">      قدم ميلتون ينجر تعريفاً شاملاً , حيث يرى أن التركيز يجب أن ينصب على ماذا يفعل الدين , اي على الجانب الوظيفي للدين , وقد تأثر ينجر في تعريفه للدين بماكس فيبر الذي يرى ان الدين حاجة اساسية انسانية رغم تفاوت طبيعة وشدة هذه الحاجة عند مختلف الأفراد , وكذلك تأثر برجل الدين بول </w:t>
      </w:r>
      <w:proofErr w:type="spellStart"/>
      <w:r>
        <w:rPr>
          <w:rFonts w:hint="cs"/>
          <w:sz w:val="28"/>
          <w:szCs w:val="28"/>
          <w:rtl/>
          <w:lang w:bidi="ar-IQ"/>
        </w:rPr>
        <w:t>تليش</w:t>
      </w:r>
      <w:proofErr w:type="spellEnd"/>
      <w:r>
        <w:rPr>
          <w:rFonts w:hint="cs"/>
          <w:sz w:val="28"/>
          <w:szCs w:val="28"/>
          <w:rtl/>
          <w:lang w:bidi="ar-IQ"/>
        </w:rPr>
        <w:t xml:space="preserve"> في وصفه للدين بأنه </w:t>
      </w:r>
      <w:proofErr w:type="spellStart"/>
      <w:r>
        <w:rPr>
          <w:rFonts w:hint="cs"/>
          <w:sz w:val="28"/>
          <w:szCs w:val="28"/>
          <w:rtl/>
          <w:lang w:bidi="ar-IQ"/>
        </w:rPr>
        <w:t>الإهتمام</w:t>
      </w:r>
      <w:proofErr w:type="spellEnd"/>
      <w:r>
        <w:rPr>
          <w:rFonts w:hint="cs"/>
          <w:sz w:val="28"/>
          <w:szCs w:val="28"/>
          <w:rtl/>
          <w:lang w:bidi="ar-IQ"/>
        </w:rPr>
        <w:t xml:space="preserve"> المطلق هو فهم الغرض من الحياة والمعاناة والشر والظلم , من هذه المنطلقات حدد ينجر الدين بأنه نسق من المعتقدات والممارسات التي بواسطتها يكافح جماعة الأفراد المشكلات المطلقة للحياة الإنسانية , وبذلك فوظيفة الدين تتمثل في انه يقدم للأفراد التفسير لمشكلاتهم الحياتية ويمدهم </w:t>
      </w:r>
      <w:proofErr w:type="spellStart"/>
      <w:r>
        <w:rPr>
          <w:rFonts w:hint="cs"/>
          <w:sz w:val="28"/>
          <w:szCs w:val="28"/>
          <w:rtl/>
          <w:lang w:bidi="ar-IQ"/>
        </w:rPr>
        <w:t>بإستراتيجية</w:t>
      </w:r>
      <w:proofErr w:type="spellEnd"/>
      <w:r>
        <w:rPr>
          <w:rFonts w:hint="cs"/>
          <w:sz w:val="28"/>
          <w:szCs w:val="28"/>
          <w:rtl/>
          <w:lang w:bidi="ar-IQ"/>
        </w:rPr>
        <w:t xml:space="preserve"> لقهر اليأس والشعور بالإحباط , ويؤكد ينجر كغيره من </w:t>
      </w:r>
      <w:proofErr w:type="spellStart"/>
      <w:r>
        <w:rPr>
          <w:rFonts w:hint="cs"/>
          <w:sz w:val="28"/>
          <w:szCs w:val="28"/>
          <w:rtl/>
          <w:lang w:bidi="ar-IQ"/>
        </w:rPr>
        <w:t>الإجتماعيين</w:t>
      </w:r>
      <w:proofErr w:type="spellEnd"/>
      <w:r>
        <w:rPr>
          <w:rFonts w:hint="cs"/>
          <w:sz w:val="28"/>
          <w:szCs w:val="28"/>
          <w:rtl/>
          <w:lang w:bidi="ar-IQ"/>
        </w:rPr>
        <w:t xml:space="preserve"> على أن الدين هو ظاهرة اجتماعية , فهو يعايش ويكسب كثيراً من جوانب معايشته في تفاعل الجماعة , فالعبادة المنفردة قد تحمل أنماط من المعنى ربما يكون لها جوانب تدين إلا أنها ليست ديناً , وهذا ما عبر عنه ينجر على أن أي نسق اعتقاد وفعل يفشل في تفسير التساؤلات المتعلقة بالحياة فهو ليس دين . </w:t>
      </w:r>
      <w:r w:rsidRPr="0057462E">
        <w:rPr>
          <w:rFonts w:hint="cs"/>
          <w:sz w:val="28"/>
          <w:szCs w:val="28"/>
          <w:vertAlign w:val="superscript"/>
          <w:rtl/>
          <w:lang w:bidi="ar-IQ"/>
        </w:rPr>
        <w:t>(</w:t>
      </w:r>
      <w:r w:rsidRPr="0057462E">
        <w:rPr>
          <w:rStyle w:val="a4"/>
          <w:sz w:val="28"/>
          <w:szCs w:val="28"/>
          <w:rtl/>
          <w:lang w:bidi="ar-IQ"/>
        </w:rPr>
        <w:footnoteReference w:id="8"/>
      </w:r>
      <w:r w:rsidRPr="0057462E">
        <w:rPr>
          <w:rFonts w:hint="cs"/>
          <w:sz w:val="28"/>
          <w:szCs w:val="28"/>
          <w:vertAlign w:val="superscript"/>
          <w:rtl/>
          <w:lang w:bidi="ar-IQ"/>
        </w:rPr>
        <w:t>)</w:t>
      </w:r>
    </w:p>
    <w:p w:rsidR="00222084" w:rsidRDefault="00222084" w:rsidP="00222084">
      <w:pPr>
        <w:pStyle w:val="a5"/>
        <w:jc w:val="lowKashida"/>
        <w:rPr>
          <w:sz w:val="28"/>
          <w:szCs w:val="28"/>
          <w:rtl/>
          <w:lang w:bidi="ar-IQ"/>
        </w:rPr>
      </w:pPr>
    </w:p>
    <w:p w:rsidR="00222084" w:rsidRPr="000B1127" w:rsidRDefault="00222084" w:rsidP="00222084">
      <w:pPr>
        <w:pStyle w:val="a5"/>
        <w:jc w:val="lowKashida"/>
        <w:rPr>
          <w:sz w:val="28"/>
          <w:szCs w:val="28"/>
          <w:rtl/>
          <w:lang w:bidi="ar-IQ"/>
        </w:rPr>
      </w:pPr>
    </w:p>
    <w:p w:rsidR="00222084" w:rsidRPr="004C5DF6" w:rsidRDefault="00222084" w:rsidP="00222084">
      <w:pPr>
        <w:pStyle w:val="a5"/>
        <w:numPr>
          <w:ilvl w:val="0"/>
          <w:numId w:val="2"/>
        </w:numPr>
        <w:jc w:val="lowKashida"/>
        <w:rPr>
          <w:sz w:val="28"/>
          <w:szCs w:val="28"/>
          <w:lang w:bidi="ar-IQ"/>
        </w:rPr>
      </w:pPr>
      <w:r w:rsidRPr="00D20BA7">
        <w:rPr>
          <w:rFonts w:hint="cs"/>
          <w:b/>
          <w:bCs/>
          <w:sz w:val="28"/>
          <w:szCs w:val="28"/>
          <w:rtl/>
          <w:lang w:bidi="ar-IQ"/>
        </w:rPr>
        <w:lastRenderedPageBreak/>
        <w:t>التعريف الرمزي</w:t>
      </w:r>
      <w:r>
        <w:rPr>
          <w:rFonts w:hint="cs"/>
          <w:sz w:val="28"/>
          <w:szCs w:val="28"/>
          <w:rtl/>
          <w:lang w:bidi="ar-IQ"/>
        </w:rPr>
        <w:t xml:space="preserve"> : </w:t>
      </w:r>
    </w:p>
    <w:p w:rsidR="00222084" w:rsidRDefault="00222084" w:rsidP="00222084">
      <w:pPr>
        <w:jc w:val="lowKashida"/>
        <w:rPr>
          <w:sz w:val="28"/>
          <w:szCs w:val="28"/>
          <w:rtl/>
          <w:lang w:bidi="ar-IQ"/>
        </w:rPr>
      </w:pPr>
      <w:r w:rsidRPr="004C5DF6">
        <w:rPr>
          <w:rFonts w:hint="cs"/>
          <w:sz w:val="28"/>
          <w:szCs w:val="28"/>
          <w:rtl/>
          <w:lang w:bidi="ar-IQ"/>
        </w:rPr>
        <w:t xml:space="preserve">      لقد </w:t>
      </w:r>
      <w:r>
        <w:rPr>
          <w:rFonts w:hint="cs"/>
          <w:sz w:val="28"/>
          <w:szCs w:val="28"/>
          <w:rtl/>
          <w:lang w:bidi="ar-IQ"/>
        </w:rPr>
        <w:t xml:space="preserve">وضع </w:t>
      </w:r>
      <w:proofErr w:type="spellStart"/>
      <w:r w:rsidRPr="004C5DF6">
        <w:rPr>
          <w:rFonts w:hint="cs"/>
          <w:sz w:val="28"/>
          <w:szCs w:val="28"/>
          <w:rtl/>
          <w:lang w:bidi="ar-IQ"/>
        </w:rPr>
        <w:t>غيرتز</w:t>
      </w:r>
      <w:proofErr w:type="spellEnd"/>
      <w:r w:rsidRPr="004C5DF6">
        <w:rPr>
          <w:sz w:val="28"/>
          <w:szCs w:val="28"/>
          <w:lang w:bidi="ar-IQ"/>
        </w:rPr>
        <w:t xml:space="preserve">C. Geertz </w:t>
      </w:r>
      <w:r w:rsidRPr="004C5DF6">
        <w:rPr>
          <w:rFonts w:hint="cs"/>
          <w:sz w:val="28"/>
          <w:szCs w:val="28"/>
          <w:rtl/>
          <w:lang w:bidi="ar-IQ"/>
        </w:rPr>
        <w:t xml:space="preserve"> تعريفاً رمزياً للدين والذي ينطوي على ما يفعله الدين , ولما كانت سهلة الملاحظة فقد جعلها نقطة البدء في تعريفه للدين , والرموز قوة جبارة في السلوك الإنساني وهي مركز الدين , والرموز تشتمل على أشياء مثل (الصليب , المصحف , نجمة داود) , وعلى سلوك مثل (السجود , والركوع , اللمس , التقبيل) وعلى قصص أيضاً , وليست كل الرموز دينية </w:t>
      </w:r>
      <w:r>
        <w:rPr>
          <w:rFonts w:hint="cs"/>
          <w:sz w:val="28"/>
          <w:szCs w:val="28"/>
          <w:rtl/>
          <w:lang w:bidi="ar-IQ"/>
        </w:rPr>
        <w:t xml:space="preserve">, </w:t>
      </w:r>
      <w:r w:rsidRPr="004C5DF6">
        <w:rPr>
          <w:rFonts w:hint="cs"/>
          <w:sz w:val="28"/>
          <w:szCs w:val="28"/>
          <w:rtl/>
          <w:lang w:bidi="ar-IQ"/>
        </w:rPr>
        <w:t xml:space="preserve">فهناك رموز (التصافح , الإشارة باليد) فهي تعتبر سلوكيات رمزية , واعتبر </w:t>
      </w:r>
      <w:proofErr w:type="spellStart"/>
      <w:r w:rsidRPr="004C5DF6">
        <w:rPr>
          <w:rFonts w:hint="cs"/>
          <w:sz w:val="28"/>
          <w:szCs w:val="28"/>
          <w:rtl/>
          <w:lang w:bidi="ar-IQ"/>
        </w:rPr>
        <w:t>غيرتز</w:t>
      </w:r>
      <w:proofErr w:type="spellEnd"/>
      <w:r w:rsidRPr="004C5DF6">
        <w:rPr>
          <w:rFonts w:hint="cs"/>
          <w:sz w:val="28"/>
          <w:szCs w:val="28"/>
          <w:rtl/>
          <w:lang w:bidi="ar-IQ"/>
        </w:rPr>
        <w:t xml:space="preserve"> الرموز الدينية على أنها شكل من أشكال المقدس , وقد ميز بين نوعين من الرموز وهي الرموز الكبرى </w:t>
      </w:r>
      <w:r w:rsidRPr="004C5DF6">
        <w:rPr>
          <w:sz w:val="28"/>
          <w:szCs w:val="28"/>
          <w:lang w:bidi="ar-IQ"/>
        </w:rPr>
        <w:t>Macro_ symbolic</w:t>
      </w:r>
      <w:r w:rsidRPr="004C5DF6">
        <w:rPr>
          <w:rFonts w:hint="cs"/>
          <w:sz w:val="28"/>
          <w:szCs w:val="28"/>
          <w:rtl/>
          <w:lang w:bidi="ar-IQ"/>
        </w:rPr>
        <w:t xml:space="preserve">  والرموز الصغرى </w:t>
      </w:r>
      <w:r w:rsidRPr="004C5DF6">
        <w:rPr>
          <w:sz w:val="28"/>
          <w:szCs w:val="28"/>
          <w:lang w:bidi="ar-IQ"/>
        </w:rPr>
        <w:t xml:space="preserve">Micro_ symbolic </w:t>
      </w:r>
      <w:r w:rsidRPr="004C5DF6">
        <w:rPr>
          <w:rFonts w:hint="cs"/>
          <w:sz w:val="28"/>
          <w:szCs w:val="28"/>
          <w:rtl/>
          <w:lang w:bidi="ar-IQ"/>
        </w:rPr>
        <w:t xml:space="preserve"> وعلاقتها بالرموز الدينية , فالرموز الكبرى وما تتضمنه من رموز تساعد الفرد في تفسير معنى الحياة وما تنطوي عليه من نظرة كونية أو عالمية , أما الرموز الصغرى فهي تتضمن رموزاً غير دينية , رموز تمس التفاعل اليومي وجوانب الإتصال والتعاون , وهذا الشكل من الرموز لا يفسر الغرض من الحياة ولا يقترح قيماً واعتقادات .</w:t>
      </w:r>
    </w:p>
    <w:p w:rsidR="00222084" w:rsidRDefault="00222084" w:rsidP="00222084">
      <w:pPr>
        <w:jc w:val="lowKashida"/>
        <w:rPr>
          <w:sz w:val="28"/>
          <w:szCs w:val="28"/>
          <w:rtl/>
          <w:lang w:bidi="ar-IQ"/>
        </w:rPr>
      </w:pPr>
    </w:p>
    <w:p w:rsidR="00222084" w:rsidRPr="004C5DF6" w:rsidRDefault="00222084" w:rsidP="00222084">
      <w:pPr>
        <w:jc w:val="lowKashida"/>
        <w:rPr>
          <w:sz w:val="28"/>
          <w:szCs w:val="28"/>
          <w:rtl/>
          <w:lang w:bidi="ar-IQ"/>
        </w:rPr>
      </w:pPr>
      <w:r w:rsidRPr="004C5DF6">
        <w:rPr>
          <w:rFonts w:hint="cs"/>
          <w:sz w:val="28"/>
          <w:szCs w:val="28"/>
          <w:rtl/>
          <w:lang w:bidi="ar-IQ"/>
        </w:rPr>
        <w:t xml:space="preserve"> </w:t>
      </w:r>
    </w:p>
    <w:p w:rsidR="004904DD" w:rsidRDefault="00F5525A">
      <w:pPr>
        <w:rPr>
          <w:lang w:bidi="ar-IQ"/>
        </w:rPr>
      </w:pPr>
      <w:bookmarkStart w:id="0" w:name="_GoBack"/>
      <w:bookmarkEnd w:id="0"/>
    </w:p>
    <w:sectPr w:rsidR="004904DD" w:rsidSect="00EE262D">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25A" w:rsidRDefault="00F5525A" w:rsidP="00222084">
      <w:pPr>
        <w:spacing w:after="0" w:line="240" w:lineRule="auto"/>
      </w:pPr>
      <w:r>
        <w:separator/>
      </w:r>
    </w:p>
  </w:endnote>
  <w:endnote w:type="continuationSeparator" w:id="0">
    <w:p w:rsidR="00F5525A" w:rsidRDefault="00F5525A" w:rsidP="00222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25A" w:rsidRDefault="00F5525A" w:rsidP="00222084">
      <w:pPr>
        <w:spacing w:after="0" w:line="240" w:lineRule="auto"/>
      </w:pPr>
      <w:r>
        <w:separator/>
      </w:r>
    </w:p>
  </w:footnote>
  <w:footnote w:type="continuationSeparator" w:id="0">
    <w:p w:rsidR="00F5525A" w:rsidRDefault="00F5525A" w:rsidP="00222084">
      <w:pPr>
        <w:spacing w:after="0" w:line="240" w:lineRule="auto"/>
      </w:pPr>
      <w:r>
        <w:continuationSeparator/>
      </w:r>
    </w:p>
  </w:footnote>
  <w:footnote w:id="1">
    <w:p w:rsidR="00222084" w:rsidRPr="00B20501" w:rsidRDefault="00222084" w:rsidP="00222084">
      <w:pPr>
        <w:pStyle w:val="a3"/>
        <w:rPr>
          <w:sz w:val="22"/>
          <w:szCs w:val="22"/>
          <w:rtl/>
          <w:lang w:bidi="ar-IQ"/>
        </w:rPr>
      </w:pPr>
      <w:r>
        <w:rPr>
          <w:rFonts w:hint="cs"/>
          <w:sz w:val="22"/>
          <w:szCs w:val="22"/>
          <w:rtl/>
        </w:rPr>
        <w:t xml:space="preserve"> (4) </w:t>
      </w:r>
      <w:proofErr w:type="spellStart"/>
      <w:r>
        <w:rPr>
          <w:rFonts w:hint="cs"/>
          <w:sz w:val="22"/>
          <w:szCs w:val="22"/>
          <w:rtl/>
        </w:rPr>
        <w:t>كوستاف</w:t>
      </w:r>
      <w:proofErr w:type="spellEnd"/>
      <w:r>
        <w:rPr>
          <w:rFonts w:hint="cs"/>
          <w:sz w:val="22"/>
          <w:szCs w:val="22"/>
          <w:rtl/>
        </w:rPr>
        <w:t xml:space="preserve"> </w:t>
      </w:r>
      <w:proofErr w:type="spellStart"/>
      <w:r>
        <w:rPr>
          <w:rFonts w:hint="cs"/>
          <w:sz w:val="22"/>
          <w:szCs w:val="22"/>
          <w:rtl/>
        </w:rPr>
        <w:t>لوبون</w:t>
      </w:r>
      <w:proofErr w:type="spellEnd"/>
      <w:r>
        <w:rPr>
          <w:rFonts w:hint="cs"/>
          <w:sz w:val="22"/>
          <w:szCs w:val="22"/>
          <w:rtl/>
        </w:rPr>
        <w:t xml:space="preserve"> , روح الجماعة , ترجمة احمد فتحي زغلول , المطبعة الرحمانية , القاهرة , 1909 , ص77 . </w:t>
      </w:r>
    </w:p>
  </w:footnote>
  <w:footnote w:id="2">
    <w:p w:rsidR="00222084" w:rsidRPr="00166AA8" w:rsidRDefault="00222084" w:rsidP="00222084">
      <w:pPr>
        <w:pStyle w:val="a3"/>
        <w:rPr>
          <w:sz w:val="22"/>
          <w:szCs w:val="22"/>
        </w:rPr>
      </w:pPr>
      <w:r>
        <w:rPr>
          <w:rFonts w:hint="cs"/>
          <w:sz w:val="22"/>
          <w:szCs w:val="22"/>
          <w:rtl/>
          <w:lang w:bidi="ar-IQ"/>
        </w:rPr>
        <w:t xml:space="preserve"> </w:t>
      </w:r>
      <w:r>
        <w:rPr>
          <w:rFonts w:hint="cs"/>
          <w:sz w:val="22"/>
          <w:szCs w:val="22"/>
          <w:rtl/>
        </w:rPr>
        <w:t xml:space="preserve">(5) علي سامي النشار , نشأة الدين , دار نشر الثقافة , الإسكندرية , 1949 , ص15 . </w:t>
      </w:r>
    </w:p>
  </w:footnote>
  <w:footnote w:id="3">
    <w:p w:rsidR="00222084" w:rsidRPr="00816499" w:rsidRDefault="00222084" w:rsidP="00222084">
      <w:pPr>
        <w:pStyle w:val="a3"/>
        <w:rPr>
          <w:sz w:val="22"/>
          <w:szCs w:val="22"/>
          <w:rtl/>
          <w:lang w:bidi="ar-IQ"/>
        </w:rPr>
      </w:pPr>
      <w:r>
        <w:rPr>
          <w:rFonts w:hint="cs"/>
          <w:sz w:val="22"/>
          <w:szCs w:val="22"/>
          <w:rtl/>
        </w:rPr>
        <w:t xml:space="preserve"> (6) المصدر نفسه , ص16 . </w:t>
      </w:r>
    </w:p>
  </w:footnote>
  <w:footnote w:id="4">
    <w:p w:rsidR="00222084" w:rsidRPr="00816499" w:rsidRDefault="00222084" w:rsidP="00222084">
      <w:pPr>
        <w:pStyle w:val="a3"/>
        <w:rPr>
          <w:sz w:val="22"/>
          <w:szCs w:val="22"/>
          <w:lang w:bidi="ar-IQ"/>
        </w:rPr>
      </w:pPr>
      <w:r>
        <w:rPr>
          <w:rFonts w:hint="cs"/>
          <w:sz w:val="22"/>
          <w:szCs w:val="22"/>
          <w:rtl/>
        </w:rPr>
        <w:t xml:space="preserve">(1) روجيه </w:t>
      </w:r>
      <w:proofErr w:type="spellStart"/>
      <w:r>
        <w:rPr>
          <w:rFonts w:hint="cs"/>
          <w:sz w:val="22"/>
          <w:szCs w:val="22"/>
          <w:rtl/>
        </w:rPr>
        <w:t>باستيد</w:t>
      </w:r>
      <w:proofErr w:type="spellEnd"/>
      <w:r>
        <w:rPr>
          <w:rFonts w:hint="cs"/>
          <w:sz w:val="22"/>
          <w:szCs w:val="22"/>
          <w:rtl/>
        </w:rPr>
        <w:t xml:space="preserve"> , مصدر سابق , ص 22 .</w:t>
      </w:r>
    </w:p>
  </w:footnote>
  <w:footnote w:id="5">
    <w:p w:rsidR="00222084" w:rsidRPr="00136426" w:rsidRDefault="00222084" w:rsidP="00222084">
      <w:pPr>
        <w:pStyle w:val="a3"/>
        <w:rPr>
          <w:sz w:val="22"/>
          <w:szCs w:val="22"/>
          <w:lang w:bidi="ar-IQ"/>
        </w:rPr>
      </w:pPr>
      <w:r>
        <w:rPr>
          <w:rFonts w:hint="cs"/>
          <w:sz w:val="22"/>
          <w:szCs w:val="22"/>
          <w:rtl/>
        </w:rPr>
        <w:t xml:space="preserve">(2) </w:t>
      </w:r>
      <w:r>
        <w:rPr>
          <w:rFonts w:hint="cs"/>
          <w:sz w:val="22"/>
          <w:szCs w:val="22"/>
          <w:rtl/>
          <w:lang w:bidi="ar-IQ"/>
        </w:rPr>
        <w:t xml:space="preserve">المصدر نفسه , ص 23 . </w:t>
      </w:r>
    </w:p>
  </w:footnote>
  <w:footnote w:id="6">
    <w:p w:rsidR="00222084" w:rsidRPr="00136426" w:rsidRDefault="00222084" w:rsidP="00222084">
      <w:pPr>
        <w:pStyle w:val="a3"/>
        <w:rPr>
          <w:sz w:val="22"/>
          <w:szCs w:val="22"/>
          <w:rtl/>
          <w:lang w:bidi="ar-IQ"/>
        </w:rPr>
      </w:pPr>
      <w:r>
        <w:rPr>
          <w:rFonts w:hint="cs"/>
          <w:sz w:val="22"/>
          <w:szCs w:val="22"/>
          <w:rtl/>
        </w:rPr>
        <w:t xml:space="preserve">(3) احمد ابو زيد , تايلور , مطبعة دار المعارف , القاهرة , 1957 , ص132 . </w:t>
      </w:r>
    </w:p>
  </w:footnote>
  <w:footnote w:id="7">
    <w:p w:rsidR="00222084" w:rsidRPr="00284636" w:rsidRDefault="00222084" w:rsidP="00222084">
      <w:pPr>
        <w:pStyle w:val="a3"/>
        <w:rPr>
          <w:sz w:val="22"/>
          <w:szCs w:val="22"/>
          <w:rtl/>
          <w:lang w:bidi="ar-IQ"/>
        </w:rPr>
      </w:pPr>
      <w:r>
        <w:rPr>
          <w:rFonts w:hint="cs"/>
          <w:sz w:val="22"/>
          <w:szCs w:val="22"/>
          <w:rtl/>
          <w:lang w:bidi="ar-IQ"/>
        </w:rPr>
        <w:t xml:space="preserve">(1) </w:t>
      </w:r>
      <w:r>
        <w:rPr>
          <w:rFonts w:hint="cs"/>
          <w:sz w:val="22"/>
          <w:szCs w:val="22"/>
          <w:rtl/>
        </w:rPr>
        <w:t xml:space="preserve">د. سامية مصطفى الخشاب , دراسات في الإجتماع الديني , الطبعة الثانية , دار المعارف , مصر , القاهرة , 1988, ص23-25 . </w:t>
      </w:r>
    </w:p>
  </w:footnote>
  <w:footnote w:id="8">
    <w:p w:rsidR="00222084" w:rsidRPr="0057462E" w:rsidRDefault="00222084" w:rsidP="00222084">
      <w:pPr>
        <w:pStyle w:val="a3"/>
        <w:rPr>
          <w:sz w:val="22"/>
          <w:szCs w:val="22"/>
          <w:lang w:bidi="ar-IQ"/>
        </w:rPr>
      </w:pPr>
      <w:r>
        <w:rPr>
          <w:rFonts w:cs="Arial" w:hint="cs"/>
          <w:sz w:val="22"/>
          <w:szCs w:val="22"/>
          <w:rtl/>
        </w:rPr>
        <w:t>(2) المصدر نفسه</w:t>
      </w:r>
      <w:r>
        <w:rPr>
          <w:rFonts w:hint="cs"/>
          <w:sz w:val="22"/>
          <w:szCs w:val="22"/>
          <w:rtl/>
        </w:rPr>
        <w:t xml:space="preserve"> , ص 26-27.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C3582"/>
    <w:multiLevelType w:val="hybridMultilevel"/>
    <w:tmpl w:val="81A8AC50"/>
    <w:lvl w:ilvl="0" w:tplc="DD5E0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583724"/>
    <w:multiLevelType w:val="hybridMultilevel"/>
    <w:tmpl w:val="0F54868E"/>
    <w:lvl w:ilvl="0" w:tplc="CA7C91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363C69"/>
    <w:multiLevelType w:val="hybridMultilevel"/>
    <w:tmpl w:val="768E9D16"/>
    <w:lvl w:ilvl="0" w:tplc="FBDA634A">
      <w:numFmt w:val="bullet"/>
      <w:lvlText w:val=""/>
      <w:lvlJc w:val="left"/>
      <w:pPr>
        <w:ind w:left="644" w:hanging="360"/>
      </w:pPr>
      <w:rPr>
        <w:rFonts w:ascii="Symbol" w:eastAsiaTheme="minorHAnsi" w:hAnsi="Symbol" w:cstheme="minorBid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898"/>
    <w:rsid w:val="00222084"/>
    <w:rsid w:val="00C76898"/>
    <w:rsid w:val="00C85A95"/>
    <w:rsid w:val="00EE262D"/>
    <w:rsid w:val="00F552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08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222084"/>
    <w:pPr>
      <w:spacing w:after="0" w:line="240" w:lineRule="auto"/>
    </w:pPr>
    <w:rPr>
      <w:sz w:val="20"/>
      <w:szCs w:val="20"/>
    </w:rPr>
  </w:style>
  <w:style w:type="character" w:customStyle="1" w:styleId="Char">
    <w:name w:val="نص حاشية سفلية Char"/>
    <w:basedOn w:val="a0"/>
    <w:link w:val="a3"/>
    <w:uiPriority w:val="99"/>
    <w:rsid w:val="00222084"/>
    <w:rPr>
      <w:sz w:val="20"/>
      <w:szCs w:val="20"/>
    </w:rPr>
  </w:style>
  <w:style w:type="character" w:styleId="a4">
    <w:name w:val="footnote reference"/>
    <w:basedOn w:val="a0"/>
    <w:uiPriority w:val="99"/>
    <w:semiHidden/>
    <w:unhideWhenUsed/>
    <w:rsid w:val="00222084"/>
    <w:rPr>
      <w:vertAlign w:val="superscript"/>
    </w:rPr>
  </w:style>
  <w:style w:type="paragraph" w:styleId="a5">
    <w:name w:val="List Paragraph"/>
    <w:basedOn w:val="a"/>
    <w:uiPriority w:val="34"/>
    <w:qFormat/>
    <w:rsid w:val="002220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08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222084"/>
    <w:pPr>
      <w:spacing w:after="0" w:line="240" w:lineRule="auto"/>
    </w:pPr>
    <w:rPr>
      <w:sz w:val="20"/>
      <w:szCs w:val="20"/>
    </w:rPr>
  </w:style>
  <w:style w:type="character" w:customStyle="1" w:styleId="Char">
    <w:name w:val="نص حاشية سفلية Char"/>
    <w:basedOn w:val="a0"/>
    <w:link w:val="a3"/>
    <w:uiPriority w:val="99"/>
    <w:rsid w:val="00222084"/>
    <w:rPr>
      <w:sz w:val="20"/>
      <w:szCs w:val="20"/>
    </w:rPr>
  </w:style>
  <w:style w:type="character" w:styleId="a4">
    <w:name w:val="footnote reference"/>
    <w:basedOn w:val="a0"/>
    <w:uiPriority w:val="99"/>
    <w:semiHidden/>
    <w:unhideWhenUsed/>
    <w:rsid w:val="00222084"/>
    <w:rPr>
      <w:vertAlign w:val="superscript"/>
    </w:rPr>
  </w:style>
  <w:style w:type="paragraph" w:styleId="a5">
    <w:name w:val="List Paragraph"/>
    <w:basedOn w:val="a"/>
    <w:uiPriority w:val="34"/>
    <w:qFormat/>
    <w:rsid w:val="002220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726</Words>
  <Characters>4142</Characters>
  <Application>Microsoft Office Word</Application>
  <DocSecurity>0</DocSecurity>
  <Lines>34</Lines>
  <Paragraphs>9</Paragraphs>
  <ScaleCrop>false</ScaleCrop>
  <Company/>
  <LinksUpToDate>false</LinksUpToDate>
  <CharactersWithSpaces>4859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dc:creator>
  <cp:keywords/>
  <dc:description/>
  <cp:lastModifiedBy>aden</cp:lastModifiedBy>
  <cp:revision>2</cp:revision>
  <dcterms:created xsi:type="dcterms:W3CDTF">2018-09-25T21:28:00Z</dcterms:created>
  <dcterms:modified xsi:type="dcterms:W3CDTF">2018-09-25T21:28:00Z</dcterms:modified>
</cp:coreProperties>
</file>