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25" w:rsidRDefault="004D2525" w:rsidP="004D2525">
      <w:pPr>
        <w:tabs>
          <w:tab w:val="left" w:pos="2576"/>
          <w:tab w:val="center" w:pos="4153"/>
        </w:tabs>
        <w:spacing w:line="360" w:lineRule="auto"/>
        <w:rPr>
          <w:rFonts w:cs="Arial"/>
          <w:b/>
          <w:bCs/>
          <w:sz w:val="36"/>
          <w:szCs w:val="36"/>
          <w:rtl/>
        </w:rPr>
      </w:pPr>
      <w:r w:rsidRPr="00C72D9B">
        <w:rPr>
          <w:rFonts w:cs="Arial"/>
          <w:b/>
          <w:bCs/>
          <w:sz w:val="36"/>
          <w:szCs w:val="36"/>
          <w:rtl/>
        </w:rPr>
        <w:tab/>
      </w:r>
      <w:r w:rsidRPr="00C72D9B">
        <w:rPr>
          <w:rFonts w:cs="Arial" w:hint="cs"/>
          <w:b/>
          <w:bCs/>
          <w:sz w:val="36"/>
          <w:szCs w:val="36"/>
          <w:rtl/>
        </w:rPr>
        <w:t xml:space="preserve">المحاضرة </w:t>
      </w:r>
      <w:r>
        <w:rPr>
          <w:rFonts w:cs="Arial" w:hint="cs"/>
          <w:b/>
          <w:bCs/>
          <w:sz w:val="36"/>
          <w:szCs w:val="36"/>
          <w:rtl/>
        </w:rPr>
        <w:t>أربع</w:t>
      </w:r>
      <w:r w:rsidRPr="00C72D9B">
        <w:rPr>
          <w:rFonts w:cs="Arial" w:hint="cs"/>
          <w:b/>
          <w:bCs/>
          <w:sz w:val="36"/>
          <w:szCs w:val="36"/>
          <w:rtl/>
        </w:rPr>
        <w:t xml:space="preserve"> عشرة :</w:t>
      </w:r>
    </w:p>
    <w:p w:rsidR="004D2525" w:rsidRPr="00C72D9B" w:rsidRDefault="004D2525" w:rsidP="004D2525">
      <w:pPr>
        <w:tabs>
          <w:tab w:val="left" w:pos="2576"/>
          <w:tab w:val="center" w:pos="4153"/>
        </w:tabs>
        <w:spacing w:line="360" w:lineRule="auto"/>
        <w:rPr>
          <w:rFonts w:cs="Arial"/>
          <w:b/>
          <w:bCs/>
          <w:sz w:val="36"/>
          <w:szCs w:val="36"/>
          <w:rtl/>
        </w:rPr>
      </w:pP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  ثانياً : المنهج الموضوعي في التفسير ( التفسير الموضوعي ) 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مفهومه : وهو التفسير الذي يبحث في موضوع في كتاب الله تعالى ويعرضه من محاور ثلاثة :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1ــ إما من خلال القرآن الكريم كله ، مثل ( الصبر في القرآن الكريم )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2ــ وإما من خلال سورتين فأكثر مثل ( أهل الكتاب كما تعرضهم سورتا آل عمران والمائدة )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3ــ وإما من خلال سورة واحدة مثل ( الأخلاق الإسلامية كما تعرضها سورة النور ) . 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أساس العمل في هذ المنهج :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1ــ جمع آيات الموضوع المراد دراسته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2ــ دراسة الآيات وتقسيمها الى محاور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3ــ رفد الموضوع بالآحاديث الصحيحة ، وبأسباب النزول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4ــ إظهار مزايا الموضوع ولطائفه خلال التفسير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5ــ بيان الدروس والعبر المستفادة منه وربط الموضوع بواقع المسلمين .</w:t>
      </w:r>
    </w:p>
    <w:p w:rsidR="004D2525" w:rsidRDefault="004D2525" w:rsidP="004D2525">
      <w:pPr>
        <w:spacing w:line="360" w:lineRule="auto"/>
        <w:jc w:val="both"/>
        <w:rPr>
          <w:rFonts w:cs="Arial"/>
          <w:sz w:val="36"/>
          <w:szCs w:val="36"/>
          <w:rtl/>
        </w:rPr>
      </w:pPr>
    </w:p>
    <w:p w:rsidR="004B263E" w:rsidRDefault="004B263E">
      <w:bookmarkStart w:id="0" w:name="_GoBack"/>
      <w:bookmarkEnd w:id="0"/>
    </w:p>
    <w:sectPr w:rsidR="004B263E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25"/>
    <w:rsid w:val="004B263E"/>
    <w:rsid w:val="004D2525"/>
    <w:rsid w:val="00B7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2018-05-30T06:11:00Z</dcterms:created>
  <dcterms:modified xsi:type="dcterms:W3CDTF">2018-05-30T06:11:00Z</dcterms:modified>
</cp:coreProperties>
</file>