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65" w:rsidRPr="003505D3" w:rsidRDefault="00FA4165" w:rsidP="00FA4165">
      <w:pPr>
        <w:spacing w:line="240" w:lineRule="auto"/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ثانياً : 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علي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ّ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 xml:space="preserve"> بن عيسى الرمانيّ (ت386هـ</w:t>
      </w:r>
      <w:r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/996م</w:t>
      </w:r>
      <w:r w:rsidRPr="00C61B42">
        <w:rPr>
          <w:rFonts w:ascii="Sakkal Majalla" w:hAnsi="Sakkal Majalla" w:cs="Mudir MT"/>
          <w:b/>
          <w:bCs/>
          <w:sz w:val="32"/>
          <w:szCs w:val="32"/>
          <w:rtl/>
          <w:lang w:bidi="ar-IQ"/>
        </w:rPr>
        <w:t>) :</w:t>
      </w:r>
    </w:p>
    <w:p w:rsidR="00FA4165" w:rsidRDefault="00FA4165" w:rsidP="00FA4165">
      <w:pPr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  هو أبو الحسن علي بن عيسى الرماني المتوفى سنة 386هـ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/996م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، وهو باحث معتزلي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مفسِّر من كبار النحاة ، أصله من سامراء ، مولده ووفاته ببغداد ،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جمع الى جانب العلوم العقلية كثيراً من العلوم النقلية ، فهو إمام في النحو واللغة والتفسير . ألف رسالته «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ُّ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ك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َ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ت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ُ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في إعجاز القرآن 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ضمن كتاب ثلاث رسائل في إعجاز القرآن ، الذي حققه محمد خلف الله ومحمد زغلول سلام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1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Pr="001258E8" w:rsidRDefault="00FA4165" w:rsidP="00FA4165">
      <w:pPr>
        <w:jc w:val="high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 أخذ الرماني بالاتجاه الفني ملتقطاً 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« الن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ُّ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ك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َ</w:t>
      </w:r>
      <w:r w:rsidRPr="001258E8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>ت » أي النقط أو المواضع التي تتجلى فيها بلاغة العبارة القرآنية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وأقام كتابه عليها ، فافتتح رسالته في إعجاز القرآن بالإجابة عن سؤال سئل عنه لبيان النُّكَت في إعجاز القرآن دون تطويل بالحجاج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2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وقد</w:t>
      </w:r>
      <w:r w:rsidRPr="00ED409B"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  <w:t xml:space="preserve"> حدد المؤلف هدفه في مقدمة الرسالة حين تدرج من قضية الإعجاز عامة الى الإعجاز البلاغي . وتناول هذه الناحية الأخيرة ووضعها في أعلى مراتب البلاغة ،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ووصف بلاغة القرآن في هذه الدرجة بأنها بلاغة معجزة لأنها بلغت أقصى ما يمكن أن يصله التعبير باللسان العربي ، فبلاغة البلغاء مهما بلغت فهي ممكنة لكن بلاغة القرآن معجزة وليست في مقدور أحد .</w:t>
      </w:r>
    </w:p>
    <w:p w:rsidR="00FA4165" w:rsidRPr="00E74342" w:rsidRDefault="00FA4165" w:rsidP="00FA4165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 </w:t>
      </w:r>
      <w:r w:rsidRPr="00E74342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وجوه الإعجاز القرآني عند الرمانيّ :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ووجوه الإعجاز عند الرمانيّ تظهر من وجوه سبعة :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1- تَرْكُ المعارضة مع توفر الدواعي وشدة الحاجة .      2- التحدّي للكافة .  3- الصَّرْفَــــــــــــــة .  4- البلاغـــــــــــــــــــــــــــــــــــــــة .  5- الأخبار الصادقـــــــــــــــــة عن الأمـــــــــــــــــور المستقبلــــة .   6- نقض العـــــــــادة .   7- قياسه بكل معجزة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3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وقد احتلت البلاغة وهي وجه من وجوه الإعجاز السبعة معظم صفحات الرسالة حيث استغرقت أكثر من ثلاثين صفحة ، أما الوجوه الستة الباقية ، فقد كان حديثه عنها مقتضباً موجزاً ، فرسالة الرماني تقع في نحو أربعين صفحة ، أخذت البلاغة منها نحو خمس وثلاثين ، بينما لم تأخذ الوجوه الأخرى إلا أربع صفحات فقط . وهذا يرجح الظن بأن الرمانيّ قصد من وضع الرسالة الى أن يجعل البلاغة محور الحديث ومناط القول ، ولم يكن قصده الكلام في الإعجاز القرآني بل جعل الإعجاز مدخلاً الى بلوغ الغاية التي استهدفها ، وهي البلاغة وبيان أقسامها في القرآن الكريم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4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FA4165" w:rsidRPr="00E74342" w:rsidRDefault="00FA4165" w:rsidP="00FA4165">
      <w:pPr>
        <w:jc w:val="lowKashida"/>
        <w:rPr>
          <w:rFonts w:ascii="Sakkal Majalla" w:hAnsi="Sakkal Majalla" w:cs="Mudir MT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  </w:t>
      </w:r>
      <w:r w:rsidRPr="00E74342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شرح موجز لوجوه الإعجاز عند الرمانيّ :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أولاً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أما تركُ المعارضة مع توفر الدواعي وشدة الحاجة ، فمعناه أن العرب تركوا معارضة القرآن مع أن دواعيهم كانت متوفرة ، وكانت حاجتهم لهذه المعارضة شديدة قوية ، بيان ذلك : أنّ العرب كان لهم حظ وافر ونصيب واف</w:t>
      </w:r>
      <w:r w:rsidRPr="00FA4767">
        <w:rPr>
          <w:rFonts w:hint="cs"/>
          <w:b/>
          <w:bCs/>
          <w:sz w:val="24"/>
          <w:szCs w:val="24"/>
          <w:rtl/>
        </w:rPr>
        <w:t xml:space="preserve"> </w:t>
      </w:r>
      <w:r w:rsidRPr="00915228">
        <w:rPr>
          <w:rFonts w:hint="cs"/>
          <w:b/>
          <w:bCs/>
          <w:sz w:val="24"/>
          <w:szCs w:val="24"/>
          <w:rtl/>
        </w:rPr>
        <w:t>الزمخشري ، الكشاف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من القول ، ولقد كانت البلاغة طبعاً فيهم والفصاحة سليقة لهم ، وأعطوا من ذلك ما لم تعطه أمة من الأمم ، هذا معنى قول الرمانيّ مع توفر الدواعي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أما شدة الحاجة ، فلأن القرآن سفّه أحلامهم وقوض عباداتهم وكثيراً من عاداتهم ولم يبق لهم منفذاً يخرجون منه ومع ذلك فلم يعارضوه ، ولو أن إنساناً كان شديد العطش والماء قريب منه وهلك دون أن يشرب الماء فما ذلك إلا لعجزه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ثانياً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التحدي للكافة فلأن القرآن الكريم قد تحداهم في غير موضع ولكنهم جبنوا عن منازلته وقعدوا عن مصاولته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ومجاولته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وهذان الوجهان بعد التحقيق يرجعان الى بلاغة الكتاب العزيز ، فإن تحديه لهم ، وتركهم معارضته ، دليل على أنه في أعلى درجات البلاغة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ثالثاً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الصَّرْفــــــــــــــة فمعناهــــــــــا أن هممهم انصرفت عن معارضـــــــــــــــــــة القرآن ،ونلاحظ أن الرماني لا يتفق مع النظام الذي جعل الصرفة وجهاً من وجوه الإعجاز دون البلاغة إنما يتفق مع الجاحظ ، يقول الرماني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وهذا عندنا أحد وجوه الإعجاز التي يظهر منها للعقول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 w:rsidRPr="00D37B6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5"/>
      </w:r>
      <w:r w:rsidRPr="00D37B6A"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 xml:space="preserve">)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رابعاً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الأخبار الصادقة عن الأمور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المسقبلة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فإنه وجه من وجوه الإعجاز ، لأن ما أخبر عنه وقع وتحقق ، وهذا دليل على أنه من عند علاّم الغيوب ، ويذكر الرماني بعض ما جــــــــــــــــاء في كتاب الله من ذلك : </w:t>
      </w:r>
      <w:r w:rsidRPr="00445208">
        <w:rPr>
          <w:rFonts w:ascii="QCF_BSML" w:hAnsi="QCF_BSML" w:cs="QCF_BSML"/>
          <w:color w:val="000000"/>
          <w:sz w:val="36"/>
          <w:szCs w:val="36"/>
          <w:rtl/>
        </w:rPr>
        <w:t xml:space="preserve">ﭧ ﭨ </w:t>
      </w:r>
      <w:r w:rsidRPr="00445208">
        <w:rPr>
          <w:rFonts w:ascii="QCF_BSML" w:hAnsi="QCF_BSML" w:cs="QCF_BSML" w:hint="cs"/>
          <w:color w:val="000000"/>
          <w:sz w:val="36"/>
          <w:szCs w:val="36"/>
          <w:rtl/>
        </w:rPr>
        <w:t xml:space="preserve"> </w:t>
      </w:r>
      <w:r w:rsidRPr="00445208">
        <w:rPr>
          <w:rFonts w:ascii="QCF_BSML" w:hAnsi="QCF_BSML" w:cs="QCF_BSML"/>
          <w:color w:val="000000"/>
          <w:sz w:val="36"/>
          <w:szCs w:val="36"/>
          <w:rtl/>
        </w:rPr>
        <w:t xml:space="preserve"> </w:t>
      </w:r>
      <w:r>
        <w:rPr>
          <w:rFonts w:ascii="QCF_BSML" w:hAnsi="QCF_BSML" w:cs="QCF_BSML" w:hint="cs"/>
          <w:color w:val="000000"/>
          <w:sz w:val="36"/>
          <w:szCs w:val="36"/>
          <w:rtl/>
        </w:rPr>
        <w:t xml:space="preserve">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proofErr w:type="spellStart"/>
      <w:r>
        <w:rPr>
          <w:rFonts w:ascii="QCF_BSML" w:hAnsi="QCF_BSML" w:cs="QCF_BSML"/>
          <w:b/>
          <w:bCs/>
          <w:color w:val="000000"/>
          <w:sz w:val="32"/>
          <w:szCs w:val="32"/>
          <w:rtl/>
        </w:rPr>
        <w:t>ﮋ</w:t>
      </w:r>
      <w:r w:rsidRPr="00D37B6A">
        <w:rPr>
          <w:rFonts w:ascii="QCF_P177" w:hAnsi="QCF_P177" w:cs="QCF_P177"/>
          <w:b/>
          <w:bCs/>
          <w:color w:val="000000"/>
          <w:sz w:val="32"/>
          <w:szCs w:val="32"/>
          <w:rtl/>
        </w:rPr>
        <w:t>ﮦ</w:t>
      </w:r>
      <w:proofErr w:type="spellEnd"/>
      <w:r w:rsidRPr="00D37B6A">
        <w:rPr>
          <w:rFonts w:ascii="QCF_P177" w:hAnsi="QCF_P177" w:cs="QCF_P177"/>
          <w:b/>
          <w:bCs/>
          <w:color w:val="000000"/>
          <w:sz w:val="32"/>
          <w:szCs w:val="32"/>
          <w:rtl/>
        </w:rPr>
        <w:t xml:space="preserve">  ﮧ   ﮨ  ﮩ     ﮪ  ﮫ   ﮬ  ﮭ  ﮮ  ﮯ  ﮰ  ﮱ  ﯓ  ﯔ   ﯕ  ﯖ  ﯗ  ﯘ  ﯙ  ﯚ   ﯛ  ﯜ  ﯝ   ﯞ  </w:t>
      </w:r>
      <w:r w:rsidRPr="00D37B6A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[الأنفال:7]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وقوله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تعالى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ﮋ</w:t>
      </w:r>
      <w:r>
        <w:rPr>
          <w:rFonts w:ascii="QCF_BSML" w:hAnsi="QCF_BSML" w:cs="QCF_BSML" w:hint="cs"/>
          <w:b/>
          <w:bCs/>
          <w:color w:val="000000"/>
          <w:sz w:val="32"/>
          <w:szCs w:val="32"/>
          <w:rtl/>
        </w:rPr>
        <w:t xml:space="preserve">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 </w:t>
      </w:r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ﮰ  ﮱ  ﯓ  ﯔ  ﯕ  </w:t>
      </w:r>
      <w:proofErr w:type="spellStart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>ﯖ</w:t>
      </w:r>
      <w:r w:rsidRPr="00166FF3">
        <w:rPr>
          <w:rFonts w:ascii="QCF_P514" w:hAnsi="QCF_P514" w:cs="QCF_P514"/>
          <w:b/>
          <w:bCs/>
          <w:color w:val="0000A5"/>
          <w:sz w:val="32"/>
          <w:szCs w:val="32"/>
          <w:rtl/>
        </w:rPr>
        <w:t>ﯗ</w:t>
      </w:r>
      <w:proofErr w:type="spellEnd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 ﯘ  ﯙ   ﯚ  ﯛ  ﯜ  ﯝ  ﯞ  ﯟ  ﯠ  ﯡ   ﯢ   </w:t>
      </w:r>
      <w:proofErr w:type="spellStart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>ﯣ</w:t>
      </w:r>
      <w:r w:rsidRPr="00166FF3">
        <w:rPr>
          <w:rFonts w:ascii="QCF_P514" w:hAnsi="QCF_P514" w:cs="QCF_P514"/>
          <w:b/>
          <w:bCs/>
          <w:color w:val="0000A5"/>
          <w:sz w:val="32"/>
          <w:szCs w:val="32"/>
          <w:rtl/>
        </w:rPr>
        <w:t>ﯤ</w:t>
      </w:r>
      <w:proofErr w:type="spellEnd"/>
      <w:r w:rsidRPr="00166FF3"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 </w:t>
      </w:r>
      <w:r w:rsidRPr="00166FF3">
        <w:rPr>
          <w:rFonts w:ascii="QCF_P514" w:hAnsi="QCF_P514" w:cs="QCF_P514" w:hint="cs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QCF_P514" w:hAnsi="QCF_P514" w:cs="QCF_P514"/>
          <w:b/>
          <w:bCs/>
          <w:color w:val="000000"/>
          <w:sz w:val="32"/>
          <w:szCs w:val="32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 w:rsidRPr="00166FF3">
        <w:rPr>
          <w:rFonts w:ascii="Arial" w:hAnsi="Arial" w:cs="Arial"/>
          <w:color w:val="9DAB0C"/>
          <w:sz w:val="32"/>
          <w:szCs w:val="32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[الفتح:27]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وقولــــه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: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>
        <w:rPr>
          <w:rFonts w:ascii="QCF_BSML" w:hAnsi="QCF_BSML" w:cs="QCF_BSML"/>
          <w:color w:val="000000"/>
          <w:sz w:val="47"/>
          <w:szCs w:val="47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166FF3">
        <w:rPr>
          <w:rFonts w:ascii="QCF_P404" w:hAnsi="QCF_P404" w:cs="QCF_P404"/>
          <w:b/>
          <w:bCs/>
          <w:color w:val="000000"/>
          <w:sz w:val="32"/>
          <w:szCs w:val="32"/>
          <w:rtl/>
        </w:rPr>
        <w:t xml:space="preserve">ﮫ  ﮬ  ﮭ  ﮮ  ﮯ  ﮰ  ﮱ  ﯓ  ﯔ  ﯕ  ﯖ   ﯗ  ﯘ  ﯙ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[الروم:1-3]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وقول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ــــــــــــــــــــــــــــــــــــــــــــــــــ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ه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: </w:t>
      </w:r>
      <w:r>
        <w:rPr>
          <w:rFonts w:ascii="QCF_BSML" w:hAnsi="QCF_BSML" w:cs="QCF_BSML" w:hint="cs"/>
          <w:color w:val="000000"/>
          <w:sz w:val="47"/>
          <w:szCs w:val="47"/>
          <w:rtl/>
        </w:rPr>
        <w:t xml:space="preserve">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 xml:space="preserve">ﮋ </w:t>
      </w:r>
      <w:r w:rsidRPr="00166FF3">
        <w:rPr>
          <w:rFonts w:ascii="QCF_P530" w:hAnsi="QCF_P530" w:cs="QCF_P530"/>
          <w:b/>
          <w:bCs/>
          <w:color w:val="000000"/>
          <w:sz w:val="32"/>
          <w:szCs w:val="32"/>
          <w:rtl/>
        </w:rPr>
        <w:t xml:space="preserve">ﯰ  ﯱ   ﯲ  ﯳ  ﯴ  </w:t>
      </w:r>
      <w:r w:rsidRPr="00166FF3">
        <w:rPr>
          <w:rFonts w:ascii="QCF_BSML" w:hAnsi="QCF_BSML" w:cs="QCF_BSML"/>
          <w:b/>
          <w:bCs/>
          <w:color w:val="000000"/>
          <w:sz w:val="32"/>
          <w:szCs w:val="32"/>
          <w:rtl/>
        </w:rPr>
        <w:t>ﮊ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 w:hint="cs"/>
          <w:color w:val="9DAB0C"/>
          <w:sz w:val="15"/>
          <w:szCs w:val="15"/>
          <w:rtl/>
        </w:rPr>
        <w:t xml:space="preserve"> </w:t>
      </w:r>
      <w:r>
        <w:rPr>
          <w:rFonts w:ascii="Arial" w:hAnsi="Arial" w:cs="Arial"/>
          <w:color w:val="9DAB0C"/>
          <w:sz w:val="15"/>
          <w:szCs w:val="15"/>
        </w:rPr>
        <w:t xml:space="preserve"> </w:t>
      </w:r>
      <w:r w:rsidRPr="00166FF3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[القمر:45]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،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الى غير ذلك مما أخبر عنه القرآن الكريم ، وتحققت هذه الأخبار ولم يتخلف منها خبر واحد .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 xml:space="preserve">   خامساً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نقض العادة ، فيعني به الرماني ، مجيء القرآن على وضع لم يألفه العرب من قبل ، فلقد عرف العرب الشعر والرجز والسجع ، والكلام المرسل غير المسجوع ولا المقفى ، ولكن الشكل الذي جاء عليه القرآن يختلف عن ذلك كله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نقض العادة : قضية تتعلق بالشكل والقالب ، فمعاني القرآن وضعت في قوالب من اللفظ والنظم ، لم يألفها العرب ولم يعرفوها من قبل لأنها ليست شعراً ولا نثراً ، وهذا يرجع الى بلاغة القرآن أيضاً كالوجهين الأوليين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سادساً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وأما قياسه بكل معجزة ، فيشير به الرماني الى أن معجزات الأنبياء عليهم الصلاة والسلام كفلق البحر ، وقلب العصا حية ، وإحياء الموتى وإبراء الأكمه والأبرص ، كانت من الأمور الخارقة للعادة المعجزة للناس وكذلك شأن القرآن الكريم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6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 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هذه الأوجه الستة كما يراها الرماني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</w:t>
      </w:r>
      <w:r w:rsidRPr="009C474C">
        <w:rPr>
          <w:rFonts w:ascii="Sakkal Majalla" w:hAnsi="Sakkal Majalla" w:cs="Mudir MT" w:hint="cs"/>
          <w:b/>
          <w:bCs/>
          <w:sz w:val="32"/>
          <w:szCs w:val="32"/>
          <w:rtl/>
          <w:lang w:bidi="ar-IQ"/>
        </w:rPr>
        <w:t>سابعاً 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أما الوجه السابع وهو الحديث عن البلاغة ، فقد أفاض الحديث فيه ،  قال الرماني :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«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أما البلاغة فهي على ثلاث طبقات : منها ما هو في أعلى طبقة ، ومنها ما هو في أدنى طبقة ، ومنها ما هو في الوسائط بين أعلى طبقة ، وأدنى طبقة ، فما كان في أعلاها طبقة فهو معجز ، وهو بلاغة القرآن ، وما كان منها دون ذلك فهو ممكن كبلاغة البلغاء من الناس </w:t>
      </w:r>
      <w:r>
        <w:rPr>
          <w:rFonts w:ascii="Simplified Arabic Fixed" w:hAnsi="Simplified Arabic Fixed" w:cs="Simplified Arabic Fixed"/>
          <w:b/>
          <w:bCs/>
          <w:sz w:val="32"/>
          <w:szCs w:val="32"/>
          <w:rtl/>
          <w:lang w:bidi="ar-IQ"/>
        </w:rPr>
        <w:t>»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7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لقد قسّم الرمانيّ البلاغة على طبقات : عليا ووسطى ودنيا ، وجعل القرآن معجزاً لأنه في الطبقة العليا ، حيث لا يستطيع البلغاء ، مهما كانت مقدرتهم البلاغية ، الارتقاء الى هذه الدرجة ، من هنا كان القرآن معجزاً للعرب والعجم ، كما كان الشعر معجزاً للمفحم الذي لا يستطيع قرض بيت منه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إنّ تقسيم البلاغة على طبقات أمر جديد لم نعهده عند من سبق الرمانيّ ، وأنه أفـــــــاد منـــه في بحث الإعجاز القرآني ، كما أفاد منه الخطابي على نحو آخر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وأن مفهوم البلاغة عنده ، هو إيصال المعنى الى القلب في أحسن صورة من اللفظ لا إفهام المعنى ، لأنه قد يفهم المعنى متكلمان أحدهما بليغ والآخر غبي ، ولا بتحقيق اللفظ على المعنى ، لأنه قد يحقق اللفظ على المعنى ، وهو غث مستكره ، ونافر متكلف ، مأخوذ من تراث الجاحظ ، وقد استثمره في مجال الإعجاز البلاغي ، فهدف منه الى تحقيق معنيين : أحدهما متعلق بالأثر النفسي للبلاغة وهو إيصال المعنى الى القلب ، والثاني متعلق بالأسلوب ، وهو في أحسن صورة من اللفظ ، وذلك كلـــــــه ليجعل المعجز من البلاغة أشد تأثيراً .</w:t>
      </w:r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وقسّم البلاغة بعد ذلك على عشرة أقسام هي : الإيجاز والتشبيه والاستعارة والتلاؤم والفواصل والتجانس والتصريف والتضمين والمبالغة وحسن البيان . ويذهب الى تفصيل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lastRenderedPageBreak/>
        <w:t xml:space="preserve">القول في كل من هذه الأقسام العشرة ، ويقارن بين ما جاء به العرب وما جاء به القرآن وما بينها من تفاوت في مستوى التعبير ومجال التصوير </w:t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(</w:t>
      </w:r>
      <w:r>
        <w:rPr>
          <w:rStyle w:val="a4"/>
          <w:rFonts w:ascii="Sakkal Majalla" w:hAnsi="Sakkal Majalla" w:cs="Sakkal Majalla"/>
          <w:b/>
          <w:bCs/>
          <w:sz w:val="32"/>
          <w:szCs w:val="32"/>
          <w:rtl/>
          <w:lang w:bidi="ar-IQ"/>
        </w:rPr>
        <w:footnoteReference w:id="8"/>
      </w:r>
      <w:r>
        <w:rPr>
          <w:rFonts w:ascii="Sakkal Majalla" w:hAnsi="Sakkal Majalla" w:cs="Sakkal Majalla" w:hint="cs"/>
          <w:b/>
          <w:bCs/>
          <w:sz w:val="32"/>
          <w:szCs w:val="32"/>
          <w:vertAlign w:val="superscript"/>
          <w:rtl/>
          <w:lang w:bidi="ar-IQ"/>
        </w:rPr>
        <w:t>)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.</w:t>
      </w:r>
      <w:bookmarkStart w:id="0" w:name="_GoBack"/>
      <w:bookmarkEnd w:id="0"/>
    </w:p>
    <w:p w:rsidR="00FA4165" w:rsidRDefault="00FA4165" w:rsidP="00FA4165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IQ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  ونخلص الى القول : أن معالجة الرمانيّ لمسائل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E8433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الإعجاز كانت مسائل تعجيزية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 xml:space="preserve"> </w:t>
      </w:r>
      <w:r w:rsidRPr="00E84334"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>ومخالفته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IQ"/>
        </w:rPr>
        <w:t xml:space="preserve"> لنظرية النظم ، بل أنه أخذ يناقض نفسه بنفسه ، ومعالجته كانت معالجة مجزأة مثل التقديم والتأخير والاستعارة ، ويستنتج أن استعارة القرآن ليس في الاستعارة المفردة ولا التشبيه المفرد ، وبهذا فإن الرماني لم يدرك نظرية النظم ولم ينظر الى الإعجاز نظرة تكاملية شاملة وإنما نظر له نظرة متجزئة .</w:t>
      </w:r>
    </w:p>
    <w:p w:rsidR="00C5038A" w:rsidRPr="00FA4165" w:rsidRDefault="00C5038A" w:rsidP="00FA4165">
      <w:pPr>
        <w:rPr>
          <w:rtl/>
          <w:lang w:bidi="ar-IQ"/>
        </w:rPr>
      </w:pPr>
    </w:p>
    <w:sectPr w:rsidR="00C5038A" w:rsidRPr="00FA4165" w:rsidSect="000B30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DD" w:rsidRDefault="006178DD" w:rsidP="00C5038A">
      <w:pPr>
        <w:spacing w:after="0" w:line="240" w:lineRule="auto"/>
      </w:pPr>
      <w:r>
        <w:separator/>
      </w:r>
    </w:p>
  </w:endnote>
  <w:endnote w:type="continuationSeparator" w:id="0">
    <w:p w:rsidR="006178DD" w:rsidRDefault="006178DD" w:rsidP="00C5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DD" w:rsidRDefault="006178DD" w:rsidP="00C5038A">
      <w:pPr>
        <w:spacing w:after="0" w:line="240" w:lineRule="auto"/>
      </w:pPr>
      <w:r>
        <w:separator/>
      </w:r>
    </w:p>
  </w:footnote>
  <w:footnote w:type="continuationSeparator" w:id="0">
    <w:p w:rsidR="006178DD" w:rsidRDefault="006178DD" w:rsidP="00C5038A">
      <w:pPr>
        <w:spacing w:after="0" w:line="240" w:lineRule="auto"/>
      </w:pPr>
      <w:r>
        <w:continuationSeparator/>
      </w:r>
    </w:p>
  </w:footnote>
  <w:footnote w:id="1">
    <w:p w:rsidR="00FA4165" w:rsidRPr="00A056CF" w:rsidRDefault="00FA4165" w:rsidP="00FA4165">
      <w:pPr>
        <w:pStyle w:val="a3"/>
        <w:spacing w:line="276" w:lineRule="auto"/>
        <w:jc w:val="both"/>
        <w:rPr>
          <w:b/>
          <w:bCs/>
          <w:sz w:val="24"/>
          <w:szCs w:val="24"/>
          <w:rtl/>
          <w:lang w:bidi="ar-IQ"/>
        </w:rPr>
      </w:pPr>
      <w:r w:rsidRPr="00A056CF">
        <w:rPr>
          <w:rStyle w:val="a4"/>
          <w:b/>
          <w:bCs/>
          <w:sz w:val="24"/>
          <w:szCs w:val="24"/>
        </w:rPr>
        <w:footnoteRef/>
      </w:r>
      <w:r w:rsidRPr="00A056CF">
        <w:rPr>
          <w:b/>
          <w:bCs/>
          <w:sz w:val="24"/>
          <w:szCs w:val="24"/>
          <w:rtl/>
        </w:rPr>
        <w:t xml:space="preserve"> </w:t>
      </w:r>
      <w:r w:rsidRPr="00A056CF">
        <w:rPr>
          <w:rFonts w:hint="cs"/>
          <w:b/>
          <w:bCs/>
          <w:sz w:val="24"/>
          <w:szCs w:val="24"/>
          <w:rtl/>
          <w:lang w:bidi="ar-IQ"/>
        </w:rPr>
        <w:t xml:space="preserve">) ينظر ترجمته عند : </w:t>
      </w:r>
      <w:r>
        <w:rPr>
          <w:rFonts w:hint="cs"/>
          <w:b/>
          <w:bCs/>
          <w:sz w:val="24"/>
          <w:szCs w:val="24"/>
          <w:rtl/>
          <w:lang w:bidi="ar-IQ"/>
        </w:rPr>
        <w:t>الذهبي ، سير أعلام النبلاء ، 16/534   وكتابه الآخر : ميزان الاعتدال في نقد الرجال ، 4/30   والشيخ الطوسي ، الفهرست ، 157   والشيخ المفيد ، مقدمة كتابه : أوائل المقالات في المذاهب والمختارات ، 16   و</w:t>
      </w:r>
      <w:r w:rsidRPr="00A056CF">
        <w:rPr>
          <w:rFonts w:hint="cs"/>
          <w:b/>
          <w:bCs/>
          <w:sz w:val="24"/>
          <w:szCs w:val="24"/>
          <w:rtl/>
          <w:lang w:bidi="ar-IQ"/>
        </w:rPr>
        <w:t>الزركلي ، الأعلام ، 5/134</w:t>
      </w:r>
    </w:p>
  </w:footnote>
  <w:footnote w:id="2">
    <w:p w:rsidR="00FA4165" w:rsidRPr="00BA3ED4" w:rsidRDefault="00FA4165" w:rsidP="00FA4165">
      <w:pPr>
        <w:pStyle w:val="a3"/>
        <w:spacing w:line="276" w:lineRule="auto"/>
        <w:jc w:val="both"/>
        <w:rPr>
          <w:b/>
          <w:bCs/>
          <w:sz w:val="24"/>
          <w:szCs w:val="24"/>
          <w:rtl/>
          <w:lang w:bidi="ar-IQ"/>
        </w:rPr>
      </w:pPr>
      <w:r w:rsidRPr="00BA3ED4">
        <w:rPr>
          <w:rStyle w:val="a4"/>
          <w:b/>
          <w:bCs/>
          <w:sz w:val="24"/>
          <w:szCs w:val="24"/>
        </w:rPr>
        <w:footnoteRef/>
      </w:r>
      <w:r w:rsidRPr="00BA3ED4">
        <w:rPr>
          <w:b/>
          <w:bCs/>
          <w:sz w:val="24"/>
          <w:szCs w:val="24"/>
          <w:rtl/>
        </w:rPr>
        <w:t xml:space="preserve"> </w:t>
      </w:r>
      <w:r w:rsidRPr="00BA3ED4">
        <w:rPr>
          <w:rFonts w:hint="cs"/>
          <w:b/>
          <w:bCs/>
          <w:sz w:val="24"/>
          <w:szCs w:val="24"/>
          <w:rtl/>
          <w:lang w:bidi="ar-IQ"/>
        </w:rPr>
        <w:t xml:space="preserve">) ينظر : د. محمد كريم </w:t>
      </w:r>
      <w:proofErr w:type="spellStart"/>
      <w:r w:rsidRPr="00BA3ED4">
        <w:rPr>
          <w:rFonts w:hint="cs"/>
          <w:b/>
          <w:bCs/>
          <w:sz w:val="24"/>
          <w:szCs w:val="24"/>
          <w:rtl/>
          <w:lang w:bidi="ar-IQ"/>
        </w:rPr>
        <w:t>الكوّاز</w:t>
      </w:r>
      <w:proofErr w:type="spellEnd"/>
      <w:r w:rsidRPr="00BA3ED4">
        <w:rPr>
          <w:rFonts w:hint="cs"/>
          <w:b/>
          <w:bCs/>
          <w:sz w:val="24"/>
          <w:szCs w:val="24"/>
          <w:rtl/>
          <w:lang w:bidi="ar-IQ"/>
        </w:rPr>
        <w:t xml:space="preserve"> ، الأسلوب في الإعجاز البلاغي للقرآن الكريم ، 220</w:t>
      </w:r>
    </w:p>
  </w:footnote>
  <w:footnote w:id="3">
    <w:p w:rsidR="00FA4165" w:rsidRPr="00BA3ED4" w:rsidRDefault="00FA4165" w:rsidP="00FA4165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BA3ED4">
        <w:rPr>
          <w:rStyle w:val="a4"/>
          <w:b/>
          <w:bCs/>
          <w:sz w:val="24"/>
          <w:szCs w:val="24"/>
        </w:rPr>
        <w:footnoteRef/>
      </w:r>
      <w:r w:rsidRPr="00BA3ED4">
        <w:rPr>
          <w:b/>
          <w:bCs/>
          <w:sz w:val="24"/>
          <w:szCs w:val="24"/>
          <w:rtl/>
        </w:rPr>
        <w:t xml:space="preserve"> </w:t>
      </w:r>
      <w:r w:rsidRPr="00BA3ED4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75</w:t>
      </w:r>
    </w:p>
  </w:footnote>
  <w:footnote w:id="4">
    <w:p w:rsidR="00FA4165" w:rsidRPr="00B262B7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B262B7">
        <w:rPr>
          <w:rStyle w:val="a4"/>
          <w:b/>
          <w:bCs/>
          <w:sz w:val="24"/>
          <w:szCs w:val="24"/>
        </w:rPr>
        <w:footnoteRef/>
      </w:r>
      <w:r w:rsidRPr="00B262B7">
        <w:rPr>
          <w:b/>
          <w:bCs/>
          <w:sz w:val="24"/>
          <w:szCs w:val="24"/>
          <w:rtl/>
        </w:rPr>
        <w:t xml:space="preserve"> </w:t>
      </w:r>
      <w:r w:rsidRPr="00B262B7">
        <w:rPr>
          <w:rFonts w:hint="cs"/>
          <w:b/>
          <w:bCs/>
          <w:sz w:val="24"/>
          <w:szCs w:val="24"/>
          <w:rtl/>
          <w:lang w:bidi="ar-IQ"/>
        </w:rPr>
        <w:t>) ينظر : د. عبد القادر حسين ، أثر النحاة في البحث البلاغي ، 240</w:t>
      </w:r>
    </w:p>
  </w:footnote>
  <w:footnote w:id="5">
    <w:p w:rsidR="00FA4165" w:rsidRPr="00D37B6A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D37B6A">
        <w:rPr>
          <w:rStyle w:val="a4"/>
          <w:b/>
          <w:bCs/>
          <w:sz w:val="24"/>
          <w:szCs w:val="24"/>
        </w:rPr>
        <w:footnoteRef/>
      </w:r>
      <w:r w:rsidRPr="00D37B6A">
        <w:rPr>
          <w:b/>
          <w:bCs/>
          <w:sz w:val="24"/>
          <w:szCs w:val="24"/>
          <w:rtl/>
        </w:rPr>
        <w:t xml:space="preserve"> </w:t>
      </w:r>
      <w:r w:rsidRPr="00D37B6A">
        <w:rPr>
          <w:rFonts w:hint="cs"/>
          <w:b/>
          <w:bCs/>
          <w:sz w:val="24"/>
          <w:szCs w:val="24"/>
          <w:rtl/>
          <w:lang w:bidi="ar-IQ"/>
        </w:rPr>
        <w:t>)  الرمانيّ ، النكت في إعجاز القرآن ، ضمن ثلاث رسائل في إعجاز القرآن ، 110</w:t>
      </w:r>
    </w:p>
  </w:footnote>
  <w:footnote w:id="6">
    <w:p w:rsidR="00FA4165" w:rsidRPr="00A9062B" w:rsidRDefault="00FA4165" w:rsidP="00FA4165">
      <w:pPr>
        <w:pStyle w:val="a3"/>
        <w:spacing w:line="276" w:lineRule="auto"/>
        <w:rPr>
          <w:b/>
          <w:bCs/>
          <w:sz w:val="24"/>
          <w:szCs w:val="24"/>
          <w:rtl/>
          <w:lang w:bidi="ar-IQ"/>
        </w:rPr>
      </w:pPr>
      <w:r w:rsidRPr="00A9062B">
        <w:rPr>
          <w:rStyle w:val="a4"/>
          <w:b/>
          <w:bCs/>
          <w:sz w:val="24"/>
          <w:szCs w:val="24"/>
        </w:rPr>
        <w:footnoteRef/>
      </w:r>
      <w:r w:rsidRPr="00A9062B">
        <w:rPr>
          <w:b/>
          <w:bCs/>
          <w:sz w:val="24"/>
          <w:szCs w:val="24"/>
          <w:rtl/>
        </w:rPr>
        <w:t xml:space="preserve"> </w:t>
      </w:r>
      <w:r w:rsidRPr="00A9062B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109-112</w:t>
      </w:r>
    </w:p>
  </w:footnote>
  <w:footnote w:id="7">
    <w:p w:rsidR="00FA4165" w:rsidRPr="009920B0" w:rsidRDefault="00FA4165" w:rsidP="00FA4165">
      <w:pPr>
        <w:pStyle w:val="a3"/>
        <w:rPr>
          <w:b/>
          <w:bCs/>
          <w:sz w:val="24"/>
          <w:szCs w:val="24"/>
          <w:rtl/>
          <w:lang w:bidi="ar-IQ"/>
        </w:rPr>
      </w:pPr>
      <w:r w:rsidRPr="009920B0">
        <w:rPr>
          <w:rStyle w:val="a4"/>
          <w:b/>
          <w:bCs/>
          <w:sz w:val="24"/>
          <w:szCs w:val="24"/>
        </w:rPr>
        <w:footnoteRef/>
      </w:r>
      <w:r w:rsidRPr="009920B0">
        <w:rPr>
          <w:b/>
          <w:bCs/>
          <w:sz w:val="24"/>
          <w:szCs w:val="24"/>
          <w:rtl/>
        </w:rPr>
        <w:t xml:space="preserve"> 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IQ"/>
        </w:rPr>
        <w:t>المصدر نفسه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 xml:space="preserve"> ، 75</w:t>
      </w:r>
    </w:p>
  </w:footnote>
  <w:footnote w:id="8">
    <w:p w:rsidR="00FA4165" w:rsidRPr="009920B0" w:rsidRDefault="00FA4165" w:rsidP="00FA4165">
      <w:pPr>
        <w:pStyle w:val="a3"/>
        <w:spacing w:line="276" w:lineRule="auto"/>
        <w:jc w:val="lowKashida"/>
        <w:rPr>
          <w:b/>
          <w:bCs/>
          <w:sz w:val="24"/>
          <w:szCs w:val="24"/>
          <w:rtl/>
          <w:lang w:bidi="ar-IQ"/>
        </w:rPr>
      </w:pPr>
      <w:r w:rsidRPr="009920B0">
        <w:rPr>
          <w:rStyle w:val="a4"/>
          <w:b/>
          <w:bCs/>
          <w:sz w:val="24"/>
          <w:szCs w:val="24"/>
        </w:rPr>
        <w:footnoteRef/>
      </w:r>
      <w:r w:rsidRPr="009920B0">
        <w:rPr>
          <w:b/>
          <w:bCs/>
          <w:sz w:val="24"/>
          <w:szCs w:val="24"/>
          <w:rtl/>
        </w:rPr>
        <w:t xml:space="preserve"> </w:t>
      </w:r>
      <w:r w:rsidRPr="009920B0">
        <w:rPr>
          <w:rFonts w:hint="cs"/>
          <w:b/>
          <w:bCs/>
          <w:sz w:val="24"/>
          <w:szCs w:val="24"/>
          <w:rtl/>
          <w:lang w:bidi="ar-IQ"/>
        </w:rPr>
        <w:t>) ينظر : الرمانيّ ، النكت في إعجاز القرآن ، ضمن ثلاث رسائل في إعجاز القرآن ، 75-76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86"/>
    <w:rsid w:val="000B302A"/>
    <w:rsid w:val="000D6890"/>
    <w:rsid w:val="000E11DB"/>
    <w:rsid w:val="00184D86"/>
    <w:rsid w:val="002A4A7E"/>
    <w:rsid w:val="006178DD"/>
    <w:rsid w:val="007E5E5D"/>
    <w:rsid w:val="007F681D"/>
    <w:rsid w:val="00B0466E"/>
    <w:rsid w:val="00C5038A"/>
    <w:rsid w:val="00DC445F"/>
    <w:rsid w:val="00EC59D4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5038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5038A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5038A"/>
    <w:rPr>
      <w:vertAlign w:val="superscript"/>
    </w:rPr>
  </w:style>
  <w:style w:type="character" w:styleId="Hyperlink">
    <w:name w:val="Hyperlink"/>
    <w:basedOn w:val="a0"/>
    <w:uiPriority w:val="99"/>
    <w:unhideWhenUsed/>
    <w:rsid w:val="00C5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2</cp:revision>
  <dcterms:created xsi:type="dcterms:W3CDTF">2018-06-10T09:28:00Z</dcterms:created>
  <dcterms:modified xsi:type="dcterms:W3CDTF">2018-06-10T09:28:00Z</dcterms:modified>
</cp:coreProperties>
</file>