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3وأدناه: للخاء والغين المعجمتين.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4وأقصى اللسان مع ما فوقه من الحنك: للقاف والكاف.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5ووسطه مع ما فوقه من الحَنَك: للجيم والشين.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6وإحدى حافتيه مع ما يليه من الأضراس: للضاد.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7وما دون طرَفه إلى منتهاه مع ما فوقه من الحَنَك: للام، فمَخرَج اللَّام قريب من الضاد، وهى أوسع الحروف مخرجًا.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8وللراء من اللسان، وما فوقه وما يليهما،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فهى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أخرج من اللام.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9وللنُّون ما يليه الخَيْشُوم، وهو أقصى الأنف.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10وللطاء والدال المهملتين والتاء المثناة طرفه، مع أطول الثنايا العليا، وهى الأسنان المتقدمة، ثِنْتان من أعلى، وثنتان من أسفل.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11وطرفه مع الثنايا للصاد،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والزاى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، والسين.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12وطرفه مع طرف الثنايا: للظاء، والذال، والثاء المثلثة.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13وباطن الشفة السُّفْلى مع الثنايا العليا: للفاء.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14 وما بين الشفتين: للباء، والميم، والواو.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وصفاتها: جَهْر، هَمْس، ورَخاوة، وشدة، وتوسُّط بينهما، وإطباق، وانفتاح، واستعلاء، واستقبال، وذَلاقة، وإصمات، وصَفِير، ولين.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1 فالجمهور: ما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ينجصر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جَرْيُ النَّفَس مع تحركه لقوَّته، وقوَّة الاعتماد عليه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مَخْرجه، فلا يخرج إلا بصوت قَوِيّ، يمنع النَّفَس من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الجرى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معه.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lastRenderedPageBreak/>
        <w:t xml:space="preserve">2 والمهموس: بخلافه، وحروفه مجموعة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قوله: فَحَثَّهُ شَخص سكَتَ. وما عداها فهو المجهور.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3 والشديد: ما ينحصر جَرْي الصوت عند إسكانه. وأحرفه: أجِدُكَ قَطَّبْت. ومن هذه الأحرف خمسة تسمى أحرف القَلْقَلة، إذا كانت ساكنة، وهى قُطْبُ جُدْ.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4 والرَّخو: ضده. والذي بينهما ما لا يتمّ له الانحصار ولا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الجرى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، وأحرفه: لم يَرْوعنّا.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5 والمطبَق: ما ينطبق معه اللسان على الحنك، فينحصر الصوت بين اللسان وما يحاذيه من الحنَك. وأحرفه: الصاد، والضاد، والطاء، والظاء.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6 والمنفتح: بخلافه.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7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والمستعلِى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: ما يرتفع به اللسان إلى الحنَك. وأحرفه أحرف الإطباق، والخاء والغين المعجمتان، والقاف.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8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والمُسْتَفِلُ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: ما عداها.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9 والذَّلاقة: الفصاحة والخِفة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الكلام. وحروفها: مُرْ بِنَفَل ولخفة أحرفها لا يخلو رُباعي أو خُماسيّ لثقلهما من أحدها إلا نادراً، كالعسد، وهو الذهب،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والزَّهْزَقة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،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بزايين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مفتوحتين، بينهما هاء ساكنة، وهى شدة الضَّحِك.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10 والمُصْمَتة: ما عداها.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11 وأحرف اللين: الألف1، والواو، والياء.</w:t>
      </w:r>
    </w:p>
    <w:p w:rsidR="00FF715C" w:rsidRDefault="00FF715C" w:rsidP="00FF71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lastRenderedPageBreak/>
        <w:t xml:space="preserve">والقياس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إدغام ما يدغم من تلك الحروف: قَلْب الأول إلى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الثانى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، لا العكس، إلا إذا دعا الحال لذلك، نحو ادَّكَرَ2 وَاذَّكَرَ.</w:t>
      </w:r>
    </w:p>
    <w:p w:rsidR="00330291" w:rsidRDefault="00FF715C" w:rsidP="0033029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12 ولإدغام الحروف المتقاربة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بعضها ثلاثة أحكام: الوُجوب، والامتناع، والجواز. فالوجوب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لام التعريف مع أحد الحروف الشمسية3، وهى: التاء، والثاء، والدال، إلى الظاء، واللام، والنون، وفى اللام الساكنة غيرَها مع الراء، نحو {بَلْ رَفَعَهُ اللَّهُ} [النساء: 158]</w:t>
      </w:r>
      <w:r w:rsidR="00330291">
        <w:rPr>
          <w:rFonts w:hint="cs"/>
          <w:sz w:val="32"/>
          <w:szCs w:val="32"/>
          <w:rtl/>
          <w:lang w:bidi="ar-IQ"/>
        </w:rPr>
        <w:t xml:space="preserve"> </w:t>
      </w:r>
      <w:r w:rsidR="0033029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وفى النون الساكنة مع ستة: أربعة فيها بِغُتَّة: وهى أحرف: ينمو، واثنان بلا غُنّة، وهما اللام والراء. وتقلب ميمًا مع الباء كما تقدَّم، وتظهر مع حروف الحلق، وتختفى مع البَاقي، فلها خمس حالات4:</w:t>
      </w:r>
    </w:p>
    <w:p w:rsidR="00330291" w:rsidRDefault="00330291" w:rsidP="0033029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والامتناع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إدغام أحرف: ضَوِيَ مِشْفَر، فيما يقاربها، لأن استطالة الضاد، ولين الياء والواو، وغُنّة الميم، وتَفَشِّي الشين والفاء، وتكرار الراء، تزول مع الإدغام، وإدغام نحو سيِّد وَمَهْدِيّ لا يَرِد، لأن الإعلال جعلهما مثلين.</w:t>
      </w:r>
    </w:p>
    <w:p w:rsidR="00330291" w:rsidRDefault="00330291" w:rsidP="00330291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FF0000"/>
          <w:sz w:val="28"/>
          <w:szCs w:val="28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والجواز فيما عدا ذلك، نحو إدغام النون المتحركة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حرف من حروف: يرملون، ونحو التاء والثاء والدال والذال والطاء بعضها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بعض، أو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>الزاى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IQ"/>
        </w:rPr>
        <w:t xml:space="preserve"> والسين والصاد، كأن تقول سكَت ثَّابِت أو دارم أو ذاكر أو طالب أو ظافر أو زيد أو سالم أو صابر، أو تقول لبثَ تَّاجر أو دارم.. إلخ، أو تقول: حقد تاجر أو دارم.</w:t>
      </w:r>
    </w:p>
    <w:p w:rsidR="00330291" w:rsidRPr="00F40409" w:rsidRDefault="00330291" w:rsidP="00330291">
      <w:pPr>
        <w:rPr>
          <w:sz w:val="32"/>
          <w:szCs w:val="32"/>
          <w:lang w:bidi="ar-IQ"/>
        </w:rPr>
      </w:pPr>
    </w:p>
    <w:p w:rsidR="004A35BB" w:rsidRPr="00FF715C" w:rsidRDefault="004A35BB" w:rsidP="00FF715C">
      <w:pPr>
        <w:rPr>
          <w:sz w:val="32"/>
          <w:szCs w:val="32"/>
          <w:lang w:bidi="ar-IQ"/>
        </w:rPr>
      </w:pPr>
      <w:bookmarkStart w:id="0" w:name="_GoBack"/>
      <w:bookmarkEnd w:id="0"/>
    </w:p>
    <w:sectPr w:rsidR="004A35BB" w:rsidRPr="00FF715C" w:rsidSect="00666F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5C"/>
    <w:rsid w:val="00330291"/>
    <w:rsid w:val="004A35BB"/>
    <w:rsid w:val="00666F4E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2018-05-06T07:51:00Z</dcterms:created>
  <dcterms:modified xsi:type="dcterms:W3CDTF">2018-05-06T07:53:00Z</dcterms:modified>
</cp:coreProperties>
</file>