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FD" w:rsidRDefault="00FF2FFD" w:rsidP="00FF2FFD">
      <w:pPr>
        <w:jc w:val="both"/>
        <w:rPr>
          <w:rFonts w:ascii="Simplified Arabic" w:hAnsi="Simplified Arabic" w:cs="Simplified Arabic" w:hint="cs"/>
          <w:sz w:val="28"/>
          <w:szCs w:val="28"/>
          <w:rtl/>
        </w:rPr>
      </w:pPr>
      <w:r w:rsidRPr="00FF2FFD">
        <w:rPr>
          <w:rFonts w:ascii="Simplified Arabic" w:hAnsi="Simplified Arabic" w:cs="Simplified Arabic"/>
          <w:b/>
          <w:bCs/>
          <w:sz w:val="28"/>
          <w:szCs w:val="28"/>
          <w:rtl/>
        </w:rPr>
        <w:t>آثار التظهير الناقل للملكية</w:t>
      </w:r>
      <w:r w:rsidRPr="00FF2FFD">
        <w:rPr>
          <w:rFonts w:ascii="Simplified Arabic" w:hAnsi="Simplified Arabic" w:cs="Simplified Arabic"/>
          <w:sz w:val="28"/>
          <w:szCs w:val="28"/>
          <w:rtl/>
        </w:rPr>
        <w:t xml:space="preserve"> : </w:t>
      </w:r>
    </w:p>
    <w:p w:rsidR="00FF2FFD" w:rsidRPr="00FF2FFD" w:rsidRDefault="00FF2FFD" w:rsidP="00FF2FFD">
      <w:pPr>
        <w:jc w:val="both"/>
        <w:rPr>
          <w:rFonts w:ascii="Simplified Arabic" w:hAnsi="Simplified Arabic" w:cs="Simplified Arabic"/>
          <w:sz w:val="28"/>
          <w:szCs w:val="28"/>
          <w:rtl/>
        </w:rPr>
      </w:pPr>
      <w:r w:rsidRPr="00FF2FFD">
        <w:rPr>
          <w:rFonts w:ascii="Simplified Arabic" w:hAnsi="Simplified Arabic" w:cs="Simplified Arabic"/>
          <w:sz w:val="28"/>
          <w:szCs w:val="28"/>
          <w:rtl/>
        </w:rPr>
        <w:t xml:space="preserve">هناك أثران يترتبان على التظهير الناقل للملكية ، وهما : </w:t>
      </w:r>
      <w:proofErr w:type="spellStart"/>
      <w:r w:rsidRPr="00FF2FFD">
        <w:rPr>
          <w:rFonts w:ascii="Simplified Arabic" w:hAnsi="Simplified Arabic" w:cs="Simplified Arabic"/>
          <w:sz w:val="28"/>
          <w:szCs w:val="28"/>
          <w:rtl/>
        </w:rPr>
        <w:t>إنتقال</w:t>
      </w:r>
      <w:proofErr w:type="spellEnd"/>
      <w:r w:rsidRPr="00FF2FFD">
        <w:rPr>
          <w:rFonts w:ascii="Simplified Arabic" w:hAnsi="Simplified Arabic" w:cs="Simplified Arabic"/>
          <w:sz w:val="28"/>
          <w:szCs w:val="28"/>
          <w:rtl/>
        </w:rPr>
        <w:t xml:space="preserve"> جميع الحقوق الناشئة عن الحوالة إلى المظهر إليه </w:t>
      </w:r>
      <w:proofErr w:type="spellStart"/>
      <w:r w:rsidRPr="00FF2FFD">
        <w:rPr>
          <w:rFonts w:ascii="Simplified Arabic" w:hAnsi="Simplified Arabic" w:cs="Simplified Arabic"/>
          <w:sz w:val="28"/>
          <w:szCs w:val="28"/>
          <w:rtl/>
        </w:rPr>
        <w:t>وإلتزام</w:t>
      </w:r>
      <w:proofErr w:type="spellEnd"/>
      <w:r w:rsidRPr="00FF2FFD">
        <w:rPr>
          <w:rFonts w:ascii="Simplified Arabic" w:hAnsi="Simplified Arabic" w:cs="Simplified Arabic"/>
          <w:sz w:val="28"/>
          <w:szCs w:val="28"/>
          <w:rtl/>
        </w:rPr>
        <w:t xml:space="preserve"> المظهر بضمان قيمة الحوالة ما لم يشترط غير ذلك . </w:t>
      </w:r>
    </w:p>
    <w:p w:rsidR="00FF2FFD" w:rsidRPr="00FF2FFD" w:rsidRDefault="00FF2FFD" w:rsidP="00FF2FFD">
      <w:pPr>
        <w:jc w:val="both"/>
        <w:rPr>
          <w:rFonts w:ascii="Simplified Arabic" w:hAnsi="Simplified Arabic" w:cs="Simplified Arabic"/>
          <w:b/>
          <w:bCs/>
          <w:sz w:val="28"/>
          <w:szCs w:val="28"/>
          <w:rtl/>
        </w:rPr>
      </w:pPr>
      <w:r w:rsidRPr="00FF2FFD">
        <w:rPr>
          <w:rFonts w:ascii="Simplified Arabic" w:hAnsi="Simplified Arabic" w:cs="Simplified Arabic"/>
          <w:b/>
          <w:bCs/>
          <w:sz w:val="28"/>
          <w:szCs w:val="28"/>
          <w:rtl/>
        </w:rPr>
        <w:t xml:space="preserve">1. </w:t>
      </w:r>
      <w:proofErr w:type="spellStart"/>
      <w:r w:rsidRPr="00FF2FFD">
        <w:rPr>
          <w:rFonts w:ascii="Simplified Arabic" w:hAnsi="Simplified Arabic" w:cs="Simplified Arabic"/>
          <w:b/>
          <w:bCs/>
          <w:sz w:val="28"/>
          <w:szCs w:val="28"/>
          <w:rtl/>
        </w:rPr>
        <w:t>إنتقال</w:t>
      </w:r>
      <w:proofErr w:type="spellEnd"/>
      <w:r w:rsidRPr="00FF2FFD">
        <w:rPr>
          <w:rFonts w:ascii="Simplified Arabic" w:hAnsi="Simplified Arabic" w:cs="Simplified Arabic"/>
          <w:b/>
          <w:bCs/>
          <w:sz w:val="28"/>
          <w:szCs w:val="28"/>
          <w:rtl/>
        </w:rPr>
        <w:t xml:space="preserve"> جميع الحقوق الناشئة عن الحوالة التجارية .</w:t>
      </w:r>
    </w:p>
    <w:p w:rsidR="00FF2FFD" w:rsidRPr="00FF2FFD" w:rsidRDefault="00FF2FFD" w:rsidP="00FF2FFD">
      <w:pPr>
        <w:jc w:val="both"/>
        <w:rPr>
          <w:rFonts w:ascii="Simplified Arabic" w:hAnsi="Simplified Arabic" w:cs="Simplified Arabic"/>
          <w:sz w:val="28"/>
          <w:szCs w:val="28"/>
          <w:rtl/>
        </w:rPr>
      </w:pPr>
      <w:r w:rsidRPr="00FF2FFD">
        <w:rPr>
          <w:rFonts w:ascii="Simplified Arabic" w:hAnsi="Simplified Arabic" w:cs="Simplified Arabic"/>
          <w:sz w:val="28"/>
          <w:szCs w:val="28"/>
          <w:rtl/>
        </w:rPr>
        <w:t xml:space="preserve">نصت (ف1) من المادة ( 54 ) من القانون على أنهُ ) ينقل التظهير جميع الحقوق الناشئة عن الحوالة. ) يتضح من هذهِ المادة أن الحقوق الناشئة عن الحوالة تنتقل إلى المظهر إليه بصورة فورية ونهائية ، ولكن ، تجدر الإشارة بأن المظهر إليه يصبح حاملاً قانونيا لهذهِ الحوالة ولا يلزم بالتخلي عنها إلاّ إذا كان قد حصل عليها بسوء نية أو أرتكب خطأ جسيماَ في سبيل الحصول عليها ، كما يحق للمظهر إليه تظهير هذهِ الورقة تظهيراً آخراً إلى شخص آخر وتبقى </w:t>
      </w:r>
      <w:proofErr w:type="spellStart"/>
      <w:r w:rsidRPr="00FF2FFD">
        <w:rPr>
          <w:rFonts w:ascii="Simplified Arabic" w:hAnsi="Simplified Arabic" w:cs="Simplified Arabic"/>
          <w:sz w:val="28"/>
          <w:szCs w:val="28"/>
          <w:rtl/>
        </w:rPr>
        <w:t>إعتبارهُ</w:t>
      </w:r>
      <w:proofErr w:type="spellEnd"/>
      <w:r w:rsidRPr="00FF2FFD">
        <w:rPr>
          <w:rFonts w:ascii="Simplified Arabic" w:hAnsi="Simplified Arabic" w:cs="Simplified Arabic"/>
          <w:sz w:val="28"/>
          <w:szCs w:val="28"/>
          <w:rtl/>
        </w:rPr>
        <w:t xml:space="preserve"> من الضامنين لقيمة الحوالة ، كما يحق للمظهر إليه أن يتنازل كلاً أو جزءاً عن المطالبة بقيمة الحوالة</w:t>
      </w:r>
      <w:r>
        <w:rPr>
          <w:rFonts w:ascii="Simplified Arabic" w:hAnsi="Simplified Arabic" w:cs="Simplified Arabic" w:hint="cs"/>
          <w:sz w:val="28"/>
          <w:szCs w:val="28"/>
          <w:rtl/>
        </w:rPr>
        <w:t xml:space="preserve">. </w:t>
      </w:r>
    </w:p>
    <w:p w:rsidR="00FF2FFD" w:rsidRPr="00FF2FFD" w:rsidRDefault="00FF2FFD" w:rsidP="00FF2FFD">
      <w:pPr>
        <w:jc w:val="both"/>
        <w:rPr>
          <w:rFonts w:ascii="Simplified Arabic" w:hAnsi="Simplified Arabic" w:cs="Simplified Arabic"/>
          <w:b/>
          <w:bCs/>
          <w:sz w:val="28"/>
          <w:szCs w:val="28"/>
          <w:rtl/>
        </w:rPr>
      </w:pPr>
      <w:r w:rsidRPr="00FF2FFD">
        <w:rPr>
          <w:rFonts w:ascii="Simplified Arabic" w:hAnsi="Simplified Arabic" w:cs="Simplified Arabic"/>
          <w:b/>
          <w:bCs/>
          <w:sz w:val="28"/>
          <w:szCs w:val="28"/>
          <w:rtl/>
        </w:rPr>
        <w:t xml:space="preserve">2. حجية الحقوق المنتقلة بالتظهير ( قاعدة تظهير الدفوع ) . </w:t>
      </w:r>
    </w:p>
    <w:p w:rsidR="00FF2FFD" w:rsidRPr="00FF2FFD" w:rsidRDefault="00FF2FFD" w:rsidP="00FF2FFD">
      <w:pPr>
        <w:jc w:val="both"/>
        <w:rPr>
          <w:rFonts w:ascii="Simplified Arabic" w:hAnsi="Simplified Arabic" w:cs="Simplified Arabic"/>
          <w:sz w:val="28"/>
          <w:szCs w:val="28"/>
          <w:rtl/>
        </w:rPr>
      </w:pPr>
      <w:r w:rsidRPr="00FF2FFD">
        <w:rPr>
          <w:rFonts w:ascii="Simplified Arabic" w:hAnsi="Simplified Arabic" w:cs="Simplified Arabic"/>
          <w:sz w:val="28"/>
          <w:szCs w:val="28"/>
          <w:rtl/>
        </w:rPr>
        <w:t>يتميز التظهير الناقل للملكية بأنهُ ينتقل المظهر إليه حقاً مستمداً من الورقة التجارية يمكن المطالبة به عند الاستحقاق من المدّين بهذهِ الورقة ولا يحق للمدّين أن يدفع بعدم حجية الحق الصرفي في الورقة ، ويعتبر هذا الأثر الخاص بالتظهير الناقل للملكية خروجاً على القواعد العامة التي لا تسمح لأي شخص بأن ينتقل إلى غيره أكثر مما يملك من حقوق إلاّ أن هذهِ المبادئ ينفرد بها التظهير الناقل للملكية وتسمى قاعدة التظهير من الدفوع ، وهي خاصة بقانون التجارة ولا يمكن التعامل بها في القانون المدني وأشارت إليها المادة (57) من القانون التجاري .</w:t>
      </w:r>
    </w:p>
    <w:p w:rsidR="00FF2FFD" w:rsidRPr="00FF2FFD" w:rsidRDefault="00FF2FFD" w:rsidP="00FF2FFD">
      <w:pPr>
        <w:jc w:val="both"/>
        <w:rPr>
          <w:rFonts w:ascii="Simplified Arabic" w:hAnsi="Simplified Arabic" w:cs="Simplified Arabic"/>
          <w:sz w:val="28"/>
          <w:szCs w:val="28"/>
          <w:rtl/>
        </w:rPr>
      </w:pPr>
      <w:r w:rsidRPr="00FF2FFD">
        <w:rPr>
          <w:rFonts w:ascii="Simplified Arabic" w:hAnsi="Simplified Arabic" w:cs="Simplified Arabic"/>
          <w:b/>
          <w:bCs/>
          <w:sz w:val="28"/>
          <w:szCs w:val="28"/>
          <w:rtl/>
        </w:rPr>
        <w:t>شروط قاعدة التظهير من الدفوع :</w:t>
      </w:r>
    </w:p>
    <w:p w:rsidR="00FF2FFD" w:rsidRPr="00FF2FFD" w:rsidRDefault="00FF2FFD" w:rsidP="00FF2FFD">
      <w:pPr>
        <w:jc w:val="both"/>
        <w:rPr>
          <w:rFonts w:ascii="Simplified Arabic" w:hAnsi="Simplified Arabic" w:cs="Simplified Arabic"/>
          <w:sz w:val="28"/>
          <w:szCs w:val="28"/>
          <w:rtl/>
        </w:rPr>
      </w:pPr>
      <w:r w:rsidRPr="00FF2FFD">
        <w:rPr>
          <w:rFonts w:ascii="Simplified Arabic" w:hAnsi="Simplified Arabic" w:cs="Simplified Arabic"/>
          <w:sz w:val="28"/>
          <w:szCs w:val="28"/>
          <w:rtl/>
        </w:rPr>
        <w:t>1. أن يكون المدعي بموجب الحوالة حاملاً قانونياً لها أي الحائز الشرعي للورقة التجارية</w:t>
      </w:r>
    </w:p>
    <w:p w:rsidR="00FF2FFD" w:rsidRDefault="00FF2FFD" w:rsidP="00FF2FFD">
      <w:pPr>
        <w:jc w:val="both"/>
        <w:rPr>
          <w:rFonts w:ascii="Simplified Arabic" w:hAnsi="Simplified Arabic" w:cs="Simplified Arabic" w:hint="cs"/>
          <w:sz w:val="28"/>
          <w:szCs w:val="28"/>
          <w:rtl/>
        </w:rPr>
      </w:pPr>
      <w:r w:rsidRPr="00FF2FFD">
        <w:rPr>
          <w:rFonts w:ascii="Simplified Arabic" w:hAnsi="Simplified Arabic" w:cs="Simplified Arabic"/>
          <w:sz w:val="28"/>
          <w:szCs w:val="28"/>
          <w:rtl/>
        </w:rPr>
        <w:t xml:space="preserve">2. أن لا يكون المدعي بموجب هذهِ الحوالة قد تصرف بهدهِ الورقة بقصد الإضرار بالمدّين الصرفي ( المدعى عليه) . </w:t>
      </w:r>
    </w:p>
    <w:p w:rsidR="00FF2FFD" w:rsidRDefault="00FF2FFD" w:rsidP="00FF2FFD">
      <w:pPr>
        <w:jc w:val="both"/>
        <w:rPr>
          <w:rFonts w:ascii="Simplified Arabic" w:hAnsi="Simplified Arabic" w:cs="Simplified Arabic" w:hint="cs"/>
          <w:sz w:val="28"/>
          <w:szCs w:val="28"/>
          <w:rtl/>
        </w:rPr>
      </w:pPr>
      <w:r w:rsidRPr="00FF2FFD">
        <w:rPr>
          <w:rFonts w:ascii="Simplified Arabic" w:hAnsi="Simplified Arabic" w:cs="Simplified Arabic"/>
          <w:b/>
          <w:bCs/>
          <w:sz w:val="28"/>
          <w:szCs w:val="28"/>
          <w:rtl/>
        </w:rPr>
        <w:lastRenderedPageBreak/>
        <w:t>نطاق قاعدة التظهير من الدفوع</w:t>
      </w:r>
      <w:r w:rsidRPr="00FF2FFD">
        <w:rPr>
          <w:rFonts w:ascii="Simplified Arabic" w:hAnsi="Simplified Arabic" w:cs="Simplified Arabic"/>
          <w:sz w:val="28"/>
          <w:szCs w:val="28"/>
          <w:rtl/>
        </w:rPr>
        <w:t xml:space="preserve"> : </w:t>
      </w:r>
    </w:p>
    <w:p w:rsidR="00FF2FFD" w:rsidRPr="00FF2FFD" w:rsidRDefault="00FF2FFD" w:rsidP="00FF2FFD">
      <w:pPr>
        <w:jc w:val="both"/>
        <w:rPr>
          <w:rFonts w:ascii="Simplified Arabic" w:hAnsi="Simplified Arabic" w:cs="Simplified Arabic"/>
          <w:sz w:val="28"/>
          <w:szCs w:val="28"/>
          <w:rtl/>
        </w:rPr>
      </w:pPr>
      <w:bookmarkStart w:id="0" w:name="_GoBack"/>
      <w:bookmarkEnd w:id="0"/>
      <w:r w:rsidRPr="00FF2FFD">
        <w:rPr>
          <w:rFonts w:ascii="Simplified Arabic" w:hAnsi="Simplified Arabic" w:cs="Simplified Arabic"/>
          <w:sz w:val="28"/>
          <w:szCs w:val="28"/>
          <w:rtl/>
        </w:rPr>
        <w:t xml:space="preserve">أن هذهِ القاعدة لا دور لها في ميدان العلاقات الشخصية التي تربط المدّين بالحامل القانوني حيث يكون بإمكان المدّين ( المدعى عليه ) أن يتمسك بمواجهة الحامل بأي دفع شخصي ، مثل ؛ المقاصة ، يتضح من ذلك أن نطاق تطبيق قاعدة التظهير من الدفوع تتحدد بالعلاقات الشخصية التي تربط المدّين الصرفي بغير الحامل القانوني للورقة كالساحب أو المظهر أو الضامن </w:t>
      </w:r>
      <w:proofErr w:type="spellStart"/>
      <w:r w:rsidRPr="00FF2FFD">
        <w:rPr>
          <w:rFonts w:ascii="Simplified Arabic" w:hAnsi="Simplified Arabic" w:cs="Simplified Arabic"/>
          <w:sz w:val="28"/>
          <w:szCs w:val="28"/>
          <w:rtl/>
        </w:rPr>
        <w:t>الإحتياطي</w:t>
      </w:r>
      <w:proofErr w:type="spellEnd"/>
      <w:r w:rsidRPr="00FF2FFD">
        <w:rPr>
          <w:rFonts w:ascii="Simplified Arabic" w:hAnsi="Simplified Arabic" w:cs="Simplified Arabic"/>
          <w:sz w:val="28"/>
          <w:szCs w:val="28"/>
          <w:rtl/>
        </w:rPr>
        <w:t xml:space="preserve"> وغيرهم من الموقعين على الورقة التجارية ويبرز هنا نوعين من الدفوع ، دفوع لا يمكن التمسك بها </w:t>
      </w:r>
      <w:proofErr w:type="spellStart"/>
      <w:r w:rsidRPr="00FF2FFD">
        <w:rPr>
          <w:rFonts w:ascii="Simplified Arabic" w:hAnsi="Simplified Arabic" w:cs="Simplified Arabic"/>
          <w:sz w:val="28"/>
          <w:szCs w:val="28"/>
          <w:rtl/>
        </w:rPr>
        <w:t>إتجاه</w:t>
      </w:r>
      <w:proofErr w:type="spellEnd"/>
      <w:r w:rsidRPr="00FF2FFD">
        <w:rPr>
          <w:rFonts w:ascii="Simplified Arabic" w:hAnsi="Simplified Arabic" w:cs="Simplified Arabic"/>
          <w:sz w:val="28"/>
          <w:szCs w:val="28"/>
          <w:rtl/>
        </w:rPr>
        <w:t xml:space="preserve"> الحامل حسن النية ودفوع يمكن التمسك بها </w:t>
      </w:r>
      <w:proofErr w:type="spellStart"/>
      <w:r w:rsidRPr="00FF2FFD">
        <w:rPr>
          <w:rFonts w:ascii="Simplified Arabic" w:hAnsi="Simplified Arabic" w:cs="Simplified Arabic"/>
          <w:sz w:val="28"/>
          <w:szCs w:val="28"/>
          <w:rtl/>
        </w:rPr>
        <w:t>إتجاه</w:t>
      </w:r>
      <w:proofErr w:type="spellEnd"/>
      <w:r w:rsidRPr="00FF2FFD">
        <w:rPr>
          <w:rFonts w:ascii="Simplified Arabic" w:hAnsi="Simplified Arabic" w:cs="Simplified Arabic"/>
          <w:sz w:val="28"/>
          <w:szCs w:val="28"/>
          <w:rtl/>
        </w:rPr>
        <w:t xml:space="preserve"> الحامل .</w:t>
      </w:r>
    </w:p>
    <w:p w:rsidR="00FF2FFD" w:rsidRPr="00FF2FFD" w:rsidRDefault="00FF2FFD" w:rsidP="00FF2FFD">
      <w:pPr>
        <w:jc w:val="both"/>
        <w:rPr>
          <w:rFonts w:ascii="Simplified Arabic" w:hAnsi="Simplified Arabic" w:cs="Simplified Arabic"/>
          <w:sz w:val="28"/>
          <w:szCs w:val="28"/>
          <w:rtl/>
        </w:rPr>
      </w:pPr>
    </w:p>
    <w:p w:rsidR="005C7E90" w:rsidRPr="00FF2FFD" w:rsidRDefault="005C7E90" w:rsidP="00FF2FFD">
      <w:pPr>
        <w:jc w:val="both"/>
        <w:rPr>
          <w:rFonts w:ascii="Simplified Arabic" w:hAnsi="Simplified Arabic" w:cs="Simplified Arabic"/>
          <w:sz w:val="28"/>
          <w:szCs w:val="28"/>
        </w:rPr>
      </w:pPr>
    </w:p>
    <w:sectPr w:rsidR="005C7E90" w:rsidRPr="00FF2FFD" w:rsidSect="00374A8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662"/>
    <w:rsid w:val="00374A87"/>
    <w:rsid w:val="005C7E90"/>
    <w:rsid w:val="00B40662"/>
    <w:rsid w:val="00FF2F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1813</Characters>
  <Application>Microsoft Office Word</Application>
  <DocSecurity>0</DocSecurity>
  <Lines>15</Lines>
  <Paragraphs>4</Paragraphs>
  <ScaleCrop>false</ScaleCrop>
  <Company>Ahmed-Under</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dc:creator>
  <cp:keywords/>
  <dc:description/>
  <cp:lastModifiedBy>ALFA</cp:lastModifiedBy>
  <cp:revision>2</cp:revision>
  <dcterms:created xsi:type="dcterms:W3CDTF">2019-05-25T20:28:00Z</dcterms:created>
  <dcterms:modified xsi:type="dcterms:W3CDTF">2019-05-25T20:30:00Z</dcterms:modified>
</cp:coreProperties>
</file>