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64" w:rsidRPr="00A4076E" w:rsidRDefault="00433064" w:rsidP="00433064">
      <w:pPr>
        <w:autoSpaceDE w:val="0"/>
        <w:autoSpaceDN w:val="0"/>
        <w:adjustRightInd w:val="0"/>
        <w:spacing w:after="0" w:line="240" w:lineRule="auto"/>
        <w:rPr>
          <w:rFonts w:asciiTheme="majorBidi" w:hAnsiTheme="majorBidi" w:cstheme="majorBidi"/>
          <w:b/>
          <w:bCs/>
          <w:color w:val="000000"/>
          <w:sz w:val="24"/>
          <w:szCs w:val="24"/>
        </w:rPr>
      </w:pPr>
      <w:bookmarkStart w:id="0" w:name="_GoBack"/>
      <w:r w:rsidRPr="00A4076E">
        <w:rPr>
          <w:rFonts w:asciiTheme="majorBidi" w:hAnsiTheme="majorBidi" w:cstheme="majorBidi"/>
          <w:b/>
          <w:bCs/>
          <w:color w:val="000000"/>
          <w:sz w:val="24"/>
          <w:szCs w:val="24"/>
        </w:rPr>
        <w:t>Acute Myelogenous Leukemia</w:t>
      </w:r>
    </w:p>
    <w:bookmarkEnd w:id="0"/>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sidRPr="004339C2">
        <w:rPr>
          <w:rFonts w:asciiTheme="majorBidi" w:hAnsiTheme="majorBidi" w:cstheme="majorBidi"/>
          <w:color w:val="00A6FF"/>
          <w:sz w:val="24"/>
          <w:szCs w:val="24"/>
        </w:rPr>
        <w:t>EPIDEMIOLOGY</w:t>
      </w:r>
      <w:r>
        <w:rPr>
          <w:rFonts w:asciiTheme="majorBidi" w:hAnsiTheme="majorBidi" w:cstheme="majorBidi"/>
          <w:color w:val="00A6FF"/>
          <w:sz w:val="24"/>
          <w:szCs w:val="24"/>
        </w:rPr>
        <w:t>:</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AML accounts for 11% of the cases of childhood leukemia</w:t>
      </w:r>
      <w:r>
        <w:rPr>
          <w:rFonts w:asciiTheme="majorBidi" w:hAnsiTheme="majorBidi" w:cstheme="majorBidi"/>
          <w:color w:val="000000"/>
          <w:sz w:val="24"/>
          <w:szCs w:val="24"/>
        </w:rPr>
        <w:t xml:space="preserve">. </w:t>
      </w:r>
      <w:r w:rsidRPr="004339C2">
        <w:rPr>
          <w:rFonts w:asciiTheme="majorBidi" w:hAnsiTheme="majorBidi" w:cstheme="majorBidi"/>
          <w:color w:val="000000"/>
          <w:sz w:val="24"/>
          <w:szCs w:val="24"/>
        </w:rPr>
        <w:t>The relative frequency of AML increases in adolescence, representing 36% of cases of leukemia in 15-19 yr olds.</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 One subtype, acute promyelocytic leukemia (APL), is more common in certain regions of the world</w:t>
      </w:r>
      <w:r>
        <w:rPr>
          <w:rFonts w:asciiTheme="majorBidi" w:hAnsiTheme="majorBidi" w:cstheme="majorBidi"/>
          <w:color w:val="000000"/>
          <w:sz w:val="24"/>
          <w:szCs w:val="24"/>
        </w:rPr>
        <w:t xml:space="preserve"> .</w:t>
      </w:r>
    </w:p>
    <w:p w:rsidR="00433064" w:rsidRPr="004339C2" w:rsidRDefault="00433064" w:rsidP="00433064">
      <w:pPr>
        <w:autoSpaceDE w:val="0"/>
        <w:autoSpaceDN w:val="0"/>
        <w:adjustRightInd w:val="0"/>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A</w:t>
      </w:r>
      <w:r w:rsidRPr="004339C2">
        <w:rPr>
          <w:rFonts w:asciiTheme="majorBidi" w:hAnsiTheme="majorBidi" w:cstheme="majorBidi"/>
          <w:color w:val="000000"/>
          <w:sz w:val="24"/>
          <w:szCs w:val="24"/>
        </w:rPr>
        <w:t>number of risk factors have been identified, including ionizing radiation, chemotherapeutic agents (e.g., alkylating agents, epipodophyllotoxin), organic solvents, paroxysmal nocturnal hemoglobinuria, and certain syndromes: Down syndrome, Fanconi anemia, Bloom syndrome, Kostmann syndrome, Shwachman-Diamond syndrome, Diamond-Blackfan syndrome, Li-Fraumeni syndrome, and neurofibromatosis type 1.</w:t>
      </w:r>
    </w:p>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sidRPr="004339C2">
        <w:rPr>
          <w:rFonts w:asciiTheme="majorBidi" w:hAnsiTheme="majorBidi" w:cstheme="majorBidi"/>
          <w:color w:val="00A6FF"/>
          <w:sz w:val="24"/>
          <w:szCs w:val="24"/>
        </w:rPr>
        <w:t>CELLULAR CLASSIFICATION</w:t>
      </w:r>
      <w:r>
        <w:rPr>
          <w:rFonts w:asciiTheme="majorBidi" w:hAnsiTheme="majorBidi" w:cstheme="majorBidi"/>
          <w:color w:val="00A6FF"/>
          <w:sz w:val="24"/>
          <w:szCs w:val="24"/>
        </w:rPr>
        <w:t>:</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The characteristic feature of AML is that &gt;20% of bone marrow cells on bone marrow aspiration or biopsy touch preparations constitute a fairly homogeneous population of blast cells, with features similar to those that characterize early differentiation states of the myeloidmonocyte- megakaryocyte series of blood cells.</w:t>
      </w:r>
    </w:p>
    <w:p w:rsidR="00433064" w:rsidRPr="004339C2"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 The WHO has proposed a new classification system that incorporates morphology,chromosome abnormalities, and specific gene mutations. This system provides significant biologic and prognostic information .       </w:t>
      </w:r>
    </w:p>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sidRPr="004339C2">
        <w:rPr>
          <w:rFonts w:asciiTheme="majorBidi" w:hAnsiTheme="majorBidi" w:cstheme="majorBidi"/>
          <w:color w:val="00A6FF"/>
          <w:sz w:val="24"/>
          <w:szCs w:val="24"/>
        </w:rPr>
        <w:t>CLINICAL MANIFESTATIONS</w:t>
      </w:r>
      <w:r>
        <w:rPr>
          <w:rFonts w:asciiTheme="majorBidi" w:hAnsiTheme="majorBidi" w:cstheme="majorBidi"/>
          <w:color w:val="00A6FF"/>
          <w:sz w:val="24"/>
          <w:szCs w:val="24"/>
        </w:rPr>
        <w:t>:</w:t>
      </w:r>
    </w:p>
    <w:p w:rsidR="00433064" w:rsidRDefault="00433064" w:rsidP="00433064">
      <w:pPr>
        <w:autoSpaceDE w:val="0"/>
        <w:autoSpaceDN w:val="0"/>
        <w:adjustRightInd w:val="0"/>
        <w:spacing w:after="0" w:line="240" w:lineRule="auto"/>
        <w:rPr>
          <w:rFonts w:asciiTheme="majorBidi" w:hAnsiTheme="majorBidi" w:cstheme="majorBidi"/>
          <w:b/>
          <w:bCs/>
          <w:color w:val="000000"/>
          <w:sz w:val="24"/>
          <w:szCs w:val="24"/>
        </w:rPr>
      </w:pPr>
      <w:r w:rsidRPr="004339C2">
        <w:rPr>
          <w:rFonts w:asciiTheme="majorBidi" w:hAnsiTheme="majorBidi" w:cstheme="majorBidi"/>
          <w:color w:val="000000"/>
          <w:sz w:val="24"/>
          <w:szCs w:val="24"/>
        </w:rPr>
        <w:t xml:space="preserve"> Patients with AML can present with any or all of the findings associated with </w:t>
      </w:r>
      <w:r w:rsidRPr="004339C2">
        <w:rPr>
          <w:rFonts w:asciiTheme="majorBidi" w:hAnsiTheme="majorBidi" w:cstheme="majorBidi"/>
          <w:b/>
          <w:bCs/>
          <w:color w:val="000000"/>
          <w:sz w:val="24"/>
          <w:szCs w:val="24"/>
        </w:rPr>
        <w:t xml:space="preserve">marrow failure </w:t>
      </w:r>
      <w:r w:rsidRPr="004339C2">
        <w:rPr>
          <w:rFonts w:asciiTheme="majorBidi" w:hAnsiTheme="majorBidi" w:cstheme="majorBidi"/>
          <w:color w:val="000000"/>
          <w:sz w:val="24"/>
          <w:szCs w:val="24"/>
        </w:rPr>
        <w:t xml:space="preserve">in ALL. In addition, patients with AML present with signs and symptoms that are uncommon in ALL, including </w:t>
      </w:r>
      <w:r w:rsidRPr="004339C2">
        <w:rPr>
          <w:rFonts w:asciiTheme="majorBidi" w:hAnsiTheme="majorBidi" w:cstheme="majorBidi"/>
          <w:b/>
          <w:bCs/>
          <w:color w:val="000000"/>
          <w:sz w:val="24"/>
          <w:szCs w:val="24"/>
        </w:rPr>
        <w:t xml:space="preserve">subcutaneous nodules </w:t>
      </w:r>
      <w:r w:rsidRPr="004339C2">
        <w:rPr>
          <w:rFonts w:asciiTheme="majorBidi" w:hAnsiTheme="majorBidi" w:cstheme="majorBidi"/>
          <w:color w:val="000000"/>
          <w:sz w:val="24"/>
          <w:szCs w:val="24"/>
        </w:rPr>
        <w:t xml:space="preserve">or “blueberry muffin” lesions (especially in infants), infiltration of the gingiva (especially in monocytic subtypes), signs and laboratory findings of </w:t>
      </w:r>
      <w:r w:rsidRPr="004339C2">
        <w:rPr>
          <w:rFonts w:asciiTheme="majorBidi" w:hAnsiTheme="majorBidi" w:cstheme="majorBidi"/>
          <w:b/>
          <w:bCs/>
          <w:color w:val="000000"/>
          <w:sz w:val="24"/>
          <w:szCs w:val="24"/>
        </w:rPr>
        <w:t xml:space="preserve">disseminated intravascular coagulation </w:t>
      </w:r>
      <w:r w:rsidRPr="004339C2">
        <w:rPr>
          <w:rFonts w:asciiTheme="majorBidi" w:hAnsiTheme="majorBidi" w:cstheme="majorBidi"/>
          <w:color w:val="000000"/>
          <w:sz w:val="24"/>
          <w:szCs w:val="24"/>
        </w:rPr>
        <w:t xml:space="preserve">(especially indicative of APL), and discrete masses, known as </w:t>
      </w:r>
      <w:r w:rsidRPr="004339C2">
        <w:rPr>
          <w:rFonts w:asciiTheme="majorBidi" w:hAnsiTheme="majorBidi" w:cstheme="majorBidi"/>
          <w:b/>
          <w:bCs/>
          <w:color w:val="000000"/>
          <w:sz w:val="24"/>
          <w:szCs w:val="24"/>
        </w:rPr>
        <w:t xml:space="preserve">chloromas </w:t>
      </w:r>
      <w:r w:rsidRPr="004339C2">
        <w:rPr>
          <w:rFonts w:asciiTheme="majorBidi" w:hAnsiTheme="majorBidi" w:cstheme="majorBidi"/>
          <w:color w:val="000000"/>
          <w:sz w:val="24"/>
          <w:szCs w:val="24"/>
        </w:rPr>
        <w:t xml:space="preserve">or </w:t>
      </w:r>
      <w:r w:rsidRPr="004339C2">
        <w:rPr>
          <w:rFonts w:asciiTheme="majorBidi" w:hAnsiTheme="majorBidi" w:cstheme="majorBidi"/>
          <w:b/>
          <w:bCs/>
          <w:color w:val="000000"/>
          <w:sz w:val="24"/>
          <w:szCs w:val="24"/>
        </w:rPr>
        <w:t xml:space="preserve">granulocytic sarcomas. </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These masses can occur in the absence of apparent bone marrow involvement and</w:t>
      </w:r>
      <w:r>
        <w:rPr>
          <w:rFonts w:asciiTheme="majorBidi" w:hAnsiTheme="majorBidi" w:cstheme="majorBidi"/>
          <w:color w:val="000000"/>
          <w:sz w:val="24"/>
          <w:szCs w:val="24"/>
        </w:rPr>
        <w:t xml:space="preserve"> </w:t>
      </w:r>
      <w:r w:rsidRPr="004339C2">
        <w:rPr>
          <w:rFonts w:asciiTheme="majorBidi" w:hAnsiTheme="majorBidi" w:cstheme="majorBidi"/>
          <w:color w:val="000000"/>
          <w:sz w:val="24"/>
          <w:szCs w:val="24"/>
        </w:rPr>
        <w:t>typically are associated with a t(8;21) translocation. Chloromas also may be seen in the orbit and epidural space.</w:t>
      </w:r>
    </w:p>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Pr>
          <w:rFonts w:asciiTheme="majorBidi" w:hAnsiTheme="majorBidi" w:cstheme="majorBidi"/>
          <w:noProof/>
          <w:color w:val="00A6FF"/>
          <w:sz w:val="24"/>
          <w:szCs w:val="24"/>
        </w:rPr>
        <w:lastRenderedPageBreak/>
        <w:drawing>
          <wp:inline distT="0" distB="0" distL="0" distR="0" wp14:anchorId="3A18C468" wp14:editId="63339FA6">
            <wp:extent cx="4572635" cy="342963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sidRPr="004339C2">
        <w:rPr>
          <w:rFonts w:asciiTheme="majorBidi" w:hAnsiTheme="majorBidi" w:cstheme="majorBidi"/>
          <w:color w:val="00A6FF"/>
          <w:sz w:val="24"/>
          <w:szCs w:val="24"/>
        </w:rPr>
        <w:t>DIAGNOSIS</w:t>
      </w:r>
      <w:r>
        <w:rPr>
          <w:rFonts w:asciiTheme="majorBidi" w:hAnsiTheme="majorBidi" w:cstheme="majorBidi"/>
          <w:color w:val="00A6FF"/>
          <w:sz w:val="24"/>
          <w:szCs w:val="24"/>
        </w:rPr>
        <w:t>:</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Analysis of bone marrow aspiration and biopsy specimens of patients with AML typically reveals the features of a hypercellular marrow consisting of a monotonous pattern of cells.</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 Flow cytometry and special stains assist in identifying myeloperoxidase-containing cells, thus confirming both the myelogenous origin of the leukemia and the diagnosis.</w:t>
      </w:r>
    </w:p>
    <w:p w:rsidR="00433064" w:rsidRPr="004339C2"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Some chromosomal abnormalities and molecular genetic markers are characteristic of specific subtypes of disease.</w:t>
      </w:r>
    </w:p>
    <w:p w:rsidR="00433064" w:rsidRPr="004339C2" w:rsidRDefault="00433064" w:rsidP="00433064">
      <w:pPr>
        <w:autoSpaceDE w:val="0"/>
        <w:autoSpaceDN w:val="0"/>
        <w:adjustRightInd w:val="0"/>
        <w:spacing w:after="0" w:line="240" w:lineRule="auto"/>
        <w:rPr>
          <w:rFonts w:asciiTheme="majorBidi" w:hAnsiTheme="majorBidi" w:cstheme="majorBidi"/>
          <w:color w:val="00A6FF"/>
          <w:sz w:val="24"/>
          <w:szCs w:val="24"/>
        </w:rPr>
      </w:pPr>
      <w:r w:rsidRPr="004339C2">
        <w:rPr>
          <w:rFonts w:asciiTheme="majorBidi" w:hAnsiTheme="majorBidi" w:cstheme="majorBidi"/>
          <w:color w:val="00A6FF"/>
          <w:sz w:val="24"/>
          <w:szCs w:val="24"/>
        </w:rPr>
        <w:t>PROGNOSIS AND TREATMENT</w:t>
      </w:r>
      <w:r>
        <w:rPr>
          <w:rFonts w:asciiTheme="majorBidi" w:hAnsiTheme="majorBidi" w:cstheme="majorBidi"/>
          <w:color w:val="00A6FF"/>
          <w:sz w:val="24"/>
          <w:szCs w:val="24"/>
        </w:rPr>
        <w:t>:</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Aggressive multiagent chemotherapy is successful in inducing remission in approximately 85-90% of patients.</w:t>
      </w:r>
      <w:r>
        <w:rPr>
          <w:rFonts w:asciiTheme="majorBidi" w:hAnsiTheme="majorBidi" w:cstheme="majorBidi"/>
          <w:color w:val="000000"/>
          <w:sz w:val="24"/>
          <w:szCs w:val="24"/>
        </w:rPr>
        <w:t xml:space="preserve"> The </w:t>
      </w:r>
      <w:r w:rsidRPr="004339C2">
        <w:rPr>
          <w:rFonts w:asciiTheme="majorBidi" w:hAnsiTheme="majorBidi" w:cstheme="majorBidi"/>
          <w:color w:val="000000"/>
          <w:sz w:val="24"/>
          <w:szCs w:val="24"/>
        </w:rPr>
        <w:t>current survival rate of 60-70% with modern therapy .</w:t>
      </w:r>
      <w:r>
        <w:rPr>
          <w:rFonts w:asciiTheme="majorBidi" w:hAnsiTheme="majorBidi" w:cstheme="majorBidi"/>
          <w:color w:val="000000"/>
          <w:sz w:val="24"/>
          <w:szCs w:val="24"/>
        </w:rPr>
        <w:t xml:space="preserve"> </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Targeting therapy to genetic markers may be beneficial. </w:t>
      </w:r>
    </w:p>
    <w:p w:rsidR="00433064" w:rsidRDefault="00433064" w:rsidP="00433064">
      <w:pPr>
        <w:autoSpaceDE w:val="0"/>
        <w:autoSpaceDN w:val="0"/>
        <w:adjustRightInd w:val="0"/>
        <w:spacing w:after="0" w:line="240" w:lineRule="auto"/>
        <w:rPr>
          <w:rFonts w:asciiTheme="majorBidi" w:hAnsiTheme="majorBidi" w:cstheme="majorBidi"/>
          <w:sz w:val="24"/>
          <w:szCs w:val="24"/>
        </w:rPr>
      </w:pPr>
      <w:r w:rsidRPr="004339C2">
        <w:rPr>
          <w:rFonts w:asciiTheme="majorBidi" w:hAnsiTheme="majorBidi" w:cstheme="majorBidi"/>
          <w:color w:val="000000"/>
          <w:sz w:val="24"/>
          <w:szCs w:val="24"/>
        </w:rPr>
        <w:t>Up to 5% of patients die of either infection or bleeding before a remission can be achieved. Matched-sibling bone marrow or stem cell transplantation after remission achieves long-term disease-free survival in about two thirds of patients. Continued chemotherapy for patients who do not have a matched sibling donor is</w:t>
      </w:r>
      <w:r>
        <w:rPr>
          <w:rFonts w:asciiTheme="majorBidi" w:hAnsiTheme="majorBidi" w:cstheme="majorBidi"/>
          <w:color w:val="000000"/>
          <w:sz w:val="24"/>
          <w:szCs w:val="24"/>
        </w:rPr>
        <w:t xml:space="preserve"> </w:t>
      </w:r>
      <w:r w:rsidRPr="004339C2">
        <w:rPr>
          <w:rFonts w:asciiTheme="majorBidi" w:hAnsiTheme="majorBidi" w:cstheme="majorBidi"/>
          <w:sz w:val="24"/>
          <w:szCs w:val="24"/>
        </w:rPr>
        <w:t>generally less effective than marrow transplantation, but nevertheless is curative in about half of patients.  Matched unrelated donor transplants are usually reserved for patients who have a relapse.</w:t>
      </w:r>
    </w:p>
    <w:p w:rsidR="00433064" w:rsidRDefault="00433064" w:rsidP="00433064">
      <w:pPr>
        <w:autoSpaceDE w:val="0"/>
        <w:autoSpaceDN w:val="0"/>
        <w:adjustRightInd w:val="0"/>
        <w:spacing w:after="0" w:line="240" w:lineRule="auto"/>
        <w:rPr>
          <w:rFonts w:asciiTheme="majorBidi" w:hAnsiTheme="majorBidi" w:cstheme="majorBidi"/>
          <w:sz w:val="24"/>
          <w:szCs w:val="24"/>
        </w:rPr>
      </w:pPr>
      <w:r w:rsidRPr="004339C2">
        <w:rPr>
          <w:rFonts w:asciiTheme="majorBidi" w:hAnsiTheme="majorBidi" w:cstheme="majorBidi"/>
          <w:sz w:val="24"/>
          <w:szCs w:val="24"/>
        </w:rPr>
        <w:t xml:space="preserve"> APL, characterized by a gene rearrangement involving the retinoic acid receptor [t(15;17);  is very responsive to </w:t>
      </w:r>
      <w:r w:rsidRPr="004339C2">
        <w:rPr>
          <w:rFonts w:asciiTheme="majorBidi" w:hAnsiTheme="majorBidi" w:cstheme="majorBidi"/>
          <w:b/>
          <w:bCs/>
          <w:sz w:val="24"/>
          <w:szCs w:val="24"/>
        </w:rPr>
        <w:t>all-</w:t>
      </w:r>
      <w:r w:rsidRPr="004339C2">
        <w:rPr>
          <w:rFonts w:asciiTheme="majorBidi" w:hAnsiTheme="majorBidi" w:cstheme="majorBidi"/>
          <w:b/>
          <w:bCs/>
          <w:i/>
          <w:iCs/>
          <w:sz w:val="24"/>
          <w:szCs w:val="24"/>
        </w:rPr>
        <w:t>trans</w:t>
      </w:r>
      <w:r w:rsidRPr="004339C2">
        <w:rPr>
          <w:rFonts w:asciiTheme="majorBidi" w:hAnsiTheme="majorBidi" w:cstheme="majorBidi"/>
          <w:b/>
          <w:bCs/>
          <w:sz w:val="24"/>
          <w:szCs w:val="24"/>
        </w:rPr>
        <w:t xml:space="preserve">retinoic acid (ATRA, tretinoin) </w:t>
      </w:r>
      <w:r w:rsidRPr="004339C2">
        <w:rPr>
          <w:rFonts w:asciiTheme="majorBidi" w:hAnsiTheme="majorBidi" w:cstheme="majorBidi"/>
          <w:sz w:val="24"/>
          <w:szCs w:val="24"/>
        </w:rPr>
        <w:t xml:space="preserve">combined with </w:t>
      </w:r>
      <w:r w:rsidRPr="00A0515E">
        <w:rPr>
          <w:rFonts w:asciiTheme="majorBidi" w:hAnsiTheme="majorBidi" w:cstheme="majorBidi"/>
          <w:i/>
          <w:iCs/>
          <w:sz w:val="24"/>
          <w:szCs w:val="24"/>
        </w:rPr>
        <w:t xml:space="preserve">anthracyclines and cytarabine. </w:t>
      </w:r>
      <w:r w:rsidRPr="004339C2">
        <w:rPr>
          <w:rFonts w:asciiTheme="majorBidi" w:hAnsiTheme="majorBidi" w:cstheme="majorBidi"/>
          <w:sz w:val="24"/>
          <w:szCs w:val="24"/>
        </w:rPr>
        <w:t xml:space="preserve">The success of this therapy makes marrow transplantation in first remission unnecessary for patients with this disease. </w:t>
      </w:r>
      <w:r w:rsidRPr="00A0515E">
        <w:rPr>
          <w:rFonts w:asciiTheme="majorBidi" w:hAnsiTheme="majorBidi" w:cstheme="majorBidi"/>
          <w:i/>
          <w:iCs/>
          <w:sz w:val="24"/>
          <w:szCs w:val="24"/>
        </w:rPr>
        <w:t>Arsenic trioxide</w:t>
      </w:r>
      <w:r w:rsidRPr="004339C2">
        <w:rPr>
          <w:rFonts w:asciiTheme="majorBidi" w:hAnsiTheme="majorBidi" w:cstheme="majorBidi"/>
          <w:sz w:val="24"/>
          <w:szCs w:val="24"/>
        </w:rPr>
        <w:t xml:space="preserve"> is an effective noncytotoxic therapy for APL. </w:t>
      </w:r>
    </w:p>
    <w:p w:rsidR="00433064" w:rsidRDefault="00433064" w:rsidP="00433064">
      <w:pPr>
        <w:autoSpaceDE w:val="0"/>
        <w:autoSpaceDN w:val="0"/>
        <w:adjustRightInd w:val="0"/>
        <w:spacing w:after="0" w:line="240" w:lineRule="auto"/>
        <w:rPr>
          <w:rFonts w:asciiTheme="majorBidi" w:hAnsiTheme="majorBidi" w:cstheme="majorBidi"/>
          <w:sz w:val="24"/>
          <w:szCs w:val="24"/>
        </w:rPr>
      </w:pPr>
      <w:r w:rsidRPr="004339C2">
        <w:rPr>
          <w:rFonts w:asciiTheme="majorBidi" w:hAnsiTheme="majorBidi" w:cstheme="majorBidi"/>
          <w:sz w:val="24"/>
          <w:szCs w:val="24"/>
        </w:rPr>
        <w:t xml:space="preserve"> Increased supportive care is needed in patients with AML because the intensive therapy they receive produces prolonged bone marrow suppression with a very high incidence of serious infections, especially </w:t>
      </w:r>
      <w:r w:rsidRPr="004339C2">
        <w:rPr>
          <w:rFonts w:asciiTheme="majorBidi" w:hAnsiTheme="majorBidi" w:cstheme="majorBidi"/>
          <w:i/>
          <w:iCs/>
          <w:sz w:val="24"/>
          <w:szCs w:val="24"/>
        </w:rPr>
        <w:t xml:space="preserve">Streptococcal viridans </w:t>
      </w:r>
      <w:r w:rsidRPr="004339C2">
        <w:rPr>
          <w:rFonts w:asciiTheme="majorBidi" w:hAnsiTheme="majorBidi" w:cstheme="majorBidi"/>
          <w:sz w:val="24"/>
          <w:szCs w:val="24"/>
        </w:rPr>
        <w:t>sepsis and fungal infection.</w:t>
      </w:r>
    </w:p>
    <w:p w:rsidR="00433064" w:rsidRPr="004339C2" w:rsidRDefault="00433064" w:rsidP="00433064">
      <w:pPr>
        <w:autoSpaceDE w:val="0"/>
        <w:autoSpaceDN w:val="0"/>
        <w:adjustRightInd w:val="0"/>
        <w:spacing w:after="0" w:line="240" w:lineRule="auto"/>
        <w:rPr>
          <w:rFonts w:asciiTheme="majorBidi" w:hAnsiTheme="majorBidi" w:cstheme="majorBidi"/>
          <w:sz w:val="24"/>
          <w:szCs w:val="24"/>
        </w:rPr>
      </w:pPr>
      <w:r w:rsidRPr="004339C2">
        <w:rPr>
          <w:rFonts w:asciiTheme="majorBidi" w:hAnsiTheme="majorBidi" w:cstheme="majorBidi"/>
          <w:sz w:val="24"/>
          <w:szCs w:val="24"/>
        </w:rPr>
        <w:t xml:space="preserve"> These patients may</w:t>
      </w:r>
      <w:r>
        <w:rPr>
          <w:rFonts w:asciiTheme="majorBidi" w:hAnsiTheme="majorBidi" w:cstheme="majorBidi"/>
          <w:sz w:val="24"/>
          <w:szCs w:val="24"/>
        </w:rPr>
        <w:t xml:space="preserve"> </w:t>
      </w:r>
      <w:r w:rsidRPr="004339C2">
        <w:rPr>
          <w:rFonts w:asciiTheme="majorBidi" w:hAnsiTheme="majorBidi" w:cstheme="majorBidi"/>
          <w:sz w:val="24"/>
          <w:szCs w:val="24"/>
        </w:rPr>
        <w:t>require prolonged hospitalization, filgrastim (granulocyte colony</w:t>
      </w:r>
      <w:r>
        <w:rPr>
          <w:rFonts w:asciiTheme="majorBidi" w:hAnsiTheme="majorBidi" w:cstheme="majorBidi"/>
          <w:sz w:val="24"/>
          <w:szCs w:val="24"/>
        </w:rPr>
        <w:t xml:space="preserve"> </w:t>
      </w:r>
      <w:r w:rsidRPr="004339C2">
        <w:rPr>
          <w:rFonts w:asciiTheme="majorBidi" w:hAnsiTheme="majorBidi" w:cstheme="majorBidi"/>
          <w:sz w:val="24"/>
          <w:szCs w:val="24"/>
        </w:rPr>
        <w:t>stimulating factor), and prophylactic antimicrobials.</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p>
    <w:p w:rsidR="00433064" w:rsidRPr="00804A1E" w:rsidRDefault="00433064" w:rsidP="00433064">
      <w:pPr>
        <w:autoSpaceDE w:val="0"/>
        <w:autoSpaceDN w:val="0"/>
        <w:adjustRightInd w:val="0"/>
        <w:spacing w:after="0" w:line="240" w:lineRule="auto"/>
        <w:rPr>
          <w:rFonts w:asciiTheme="majorBidi" w:hAnsiTheme="majorBidi" w:cstheme="majorBidi"/>
          <w:b/>
          <w:bCs/>
          <w:color w:val="000000"/>
          <w:sz w:val="24"/>
          <w:szCs w:val="24"/>
        </w:rPr>
      </w:pPr>
      <w:r w:rsidRPr="00804A1E">
        <w:rPr>
          <w:rFonts w:asciiTheme="majorBidi" w:hAnsiTheme="majorBidi" w:cstheme="majorBidi"/>
          <w:b/>
          <w:bCs/>
          <w:color w:val="000000"/>
          <w:sz w:val="24"/>
          <w:szCs w:val="24"/>
        </w:rPr>
        <w:t>Chronic Myelogenous Leukemia</w:t>
      </w:r>
    </w:p>
    <w:p w:rsidR="00433064" w:rsidRDefault="00433064" w:rsidP="00433064">
      <w:pPr>
        <w:autoSpaceDE w:val="0"/>
        <w:autoSpaceDN w:val="0"/>
        <w:adjustRightInd w:val="0"/>
        <w:spacing w:after="0" w:line="240" w:lineRule="auto"/>
        <w:rPr>
          <w:rFonts w:asciiTheme="majorBidi" w:hAnsiTheme="majorBidi" w:cstheme="majorBidi"/>
          <w:b/>
          <w:bCs/>
          <w:color w:val="000000"/>
          <w:sz w:val="24"/>
          <w:szCs w:val="24"/>
        </w:rPr>
      </w:pPr>
      <w:r w:rsidRPr="004339C2">
        <w:rPr>
          <w:rFonts w:asciiTheme="majorBidi" w:hAnsiTheme="majorBidi" w:cstheme="majorBidi"/>
          <w:color w:val="000000"/>
          <w:sz w:val="24"/>
          <w:szCs w:val="24"/>
        </w:rPr>
        <w:t xml:space="preserve">CML is a clonal disorder of the hematopoietic tissue that accounts for 2-3% of all cases of childhood leukemia. Approximately 99% of the cases are characterized by a specific translocation, t(9;22)(q34;q11), known as the </w:t>
      </w:r>
      <w:r w:rsidRPr="004339C2">
        <w:rPr>
          <w:rFonts w:asciiTheme="majorBidi" w:hAnsiTheme="majorBidi" w:cstheme="majorBidi"/>
          <w:b/>
          <w:bCs/>
          <w:color w:val="000000"/>
          <w:sz w:val="24"/>
          <w:szCs w:val="24"/>
        </w:rPr>
        <w:t xml:space="preserve">Philadelphia chromosome. </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The presenting symptoms of CML are nonspecific and can include </w:t>
      </w:r>
      <w:r w:rsidRPr="0096420C">
        <w:rPr>
          <w:rFonts w:asciiTheme="majorBidi" w:hAnsiTheme="majorBidi" w:cstheme="majorBidi"/>
          <w:i/>
          <w:iCs/>
          <w:color w:val="000000"/>
          <w:sz w:val="24"/>
          <w:szCs w:val="24"/>
        </w:rPr>
        <w:t>fever, fatigue, weight loss, and anorexia.</w:t>
      </w:r>
      <w:r w:rsidRPr="004339C2">
        <w:rPr>
          <w:rFonts w:asciiTheme="majorBidi" w:hAnsiTheme="majorBidi" w:cstheme="majorBidi"/>
          <w:color w:val="000000"/>
          <w:sz w:val="24"/>
          <w:szCs w:val="24"/>
        </w:rPr>
        <w:t xml:space="preserve"> </w:t>
      </w:r>
      <w:r w:rsidRPr="0094405C">
        <w:rPr>
          <w:rFonts w:asciiTheme="majorBidi" w:hAnsiTheme="majorBidi" w:cstheme="majorBidi"/>
          <w:i/>
          <w:iCs/>
          <w:color w:val="000000"/>
          <w:sz w:val="24"/>
          <w:szCs w:val="24"/>
        </w:rPr>
        <w:t>Splenomegaly</w:t>
      </w:r>
      <w:r w:rsidRPr="004339C2">
        <w:rPr>
          <w:rFonts w:asciiTheme="majorBidi" w:hAnsiTheme="majorBidi" w:cstheme="majorBidi"/>
          <w:color w:val="000000"/>
          <w:sz w:val="24"/>
          <w:szCs w:val="24"/>
        </w:rPr>
        <w:t xml:space="preserve"> also may be present, resulting in pain in the left upper quadrant of the abdomen.</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The diagnosis is suggested by a high white blood cell count with myeloid cells at all stages of differentiation in the peripheral blood and bone marrow and is confirmed by cytogenetic and molecular studies that demonstrate the presence of the characteristic Philadelphia chromosome and the </w:t>
      </w:r>
      <w:r w:rsidRPr="004339C2">
        <w:rPr>
          <w:rFonts w:asciiTheme="majorBidi" w:hAnsiTheme="majorBidi" w:cstheme="majorBidi"/>
          <w:i/>
          <w:iCs/>
          <w:color w:val="000000"/>
          <w:sz w:val="24"/>
          <w:szCs w:val="24"/>
        </w:rPr>
        <w:t xml:space="preserve">BCR-ABL </w:t>
      </w:r>
      <w:r w:rsidRPr="004339C2">
        <w:rPr>
          <w:rFonts w:asciiTheme="majorBidi" w:hAnsiTheme="majorBidi" w:cstheme="majorBidi"/>
          <w:color w:val="000000"/>
          <w:sz w:val="24"/>
          <w:szCs w:val="24"/>
        </w:rPr>
        <w:t xml:space="preserve">gene rearrangement. This translocation,although characteristic of CML, is also found in a small percentage of patients with ALL. </w:t>
      </w:r>
    </w:p>
    <w:p w:rsidR="00433064" w:rsidRPr="004339C2"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The disease is characterized by </w:t>
      </w:r>
      <w:r w:rsidRPr="0094405C">
        <w:rPr>
          <w:rFonts w:asciiTheme="majorBidi" w:hAnsiTheme="majorBidi" w:cstheme="majorBidi"/>
          <w:i/>
          <w:iCs/>
          <w:color w:val="000000"/>
          <w:sz w:val="24"/>
          <w:szCs w:val="24"/>
        </w:rPr>
        <w:t>an initial chronic phase</w:t>
      </w:r>
      <w:r w:rsidRPr="004339C2">
        <w:rPr>
          <w:rFonts w:asciiTheme="majorBidi" w:hAnsiTheme="majorBidi" w:cstheme="majorBidi"/>
          <w:color w:val="000000"/>
          <w:sz w:val="24"/>
          <w:szCs w:val="24"/>
        </w:rPr>
        <w:t xml:space="preserve"> in which the malignant clone produces an elevated leukocyte count with a predominance of mature forms but with increased numbers of immature granulocytes.</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In addition to leukocytosis, blood counts can reveal mild anemia and thrombocytosis. </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Typically, the chronic phase terminates</w:t>
      </w:r>
      <w:r>
        <w:rPr>
          <w:rFonts w:asciiTheme="majorBidi" w:hAnsiTheme="majorBidi" w:cstheme="majorBidi"/>
          <w:color w:val="000000"/>
          <w:sz w:val="24"/>
          <w:szCs w:val="24"/>
        </w:rPr>
        <w:t xml:space="preserve"> </w:t>
      </w:r>
      <w:r w:rsidRPr="004339C2">
        <w:rPr>
          <w:rFonts w:asciiTheme="majorBidi" w:hAnsiTheme="majorBidi" w:cstheme="majorBidi"/>
          <w:color w:val="000000"/>
          <w:sz w:val="24"/>
          <w:szCs w:val="24"/>
        </w:rPr>
        <w:t xml:space="preserve">3-4 yr after onset, when the CML moves into the </w:t>
      </w:r>
      <w:r w:rsidRPr="0094405C">
        <w:rPr>
          <w:rFonts w:asciiTheme="majorBidi" w:hAnsiTheme="majorBidi" w:cstheme="majorBidi"/>
          <w:i/>
          <w:iCs/>
          <w:color w:val="000000"/>
          <w:sz w:val="24"/>
          <w:szCs w:val="24"/>
        </w:rPr>
        <w:t>accelerated or “blast crisis” phase</w:t>
      </w:r>
      <w:r w:rsidRPr="004339C2">
        <w:rPr>
          <w:rFonts w:asciiTheme="majorBidi" w:hAnsiTheme="majorBidi" w:cstheme="majorBidi"/>
          <w:color w:val="000000"/>
          <w:sz w:val="24"/>
          <w:szCs w:val="24"/>
        </w:rPr>
        <w:t>. At this point, the blood counts rise dramatically and the clinical picture is indistinguishable from acute leukemia.</w:t>
      </w:r>
    </w:p>
    <w:p w:rsidR="00433064" w:rsidRDefault="00433064" w:rsidP="00433064">
      <w:pPr>
        <w:autoSpaceDE w:val="0"/>
        <w:autoSpaceDN w:val="0"/>
        <w:adjustRightInd w:val="0"/>
        <w:spacing w:after="0" w:line="240" w:lineRule="auto"/>
        <w:rPr>
          <w:rFonts w:asciiTheme="majorBidi" w:hAnsiTheme="majorBidi" w:cstheme="majorBidi"/>
          <w:color w:val="000000"/>
          <w:sz w:val="24"/>
          <w:szCs w:val="24"/>
        </w:rPr>
      </w:pPr>
      <w:r w:rsidRPr="004339C2">
        <w:rPr>
          <w:rFonts w:asciiTheme="majorBidi" w:hAnsiTheme="majorBidi" w:cstheme="majorBidi"/>
          <w:color w:val="000000"/>
          <w:sz w:val="24"/>
          <w:szCs w:val="24"/>
        </w:rPr>
        <w:t xml:space="preserve"> Additional manifestations can occur, including </w:t>
      </w:r>
      <w:r w:rsidRPr="002C1492">
        <w:rPr>
          <w:rFonts w:asciiTheme="majorBidi" w:hAnsiTheme="majorBidi" w:cstheme="majorBidi"/>
          <w:i/>
          <w:iCs/>
          <w:color w:val="000000"/>
          <w:sz w:val="24"/>
          <w:szCs w:val="24"/>
        </w:rPr>
        <w:t>neurologic symptoms</w:t>
      </w:r>
      <w:r w:rsidRPr="004339C2">
        <w:rPr>
          <w:rFonts w:asciiTheme="majorBidi" w:hAnsiTheme="majorBidi" w:cstheme="majorBidi"/>
          <w:color w:val="000000"/>
          <w:sz w:val="24"/>
          <w:szCs w:val="24"/>
        </w:rPr>
        <w:t xml:space="preserve"> from hyperleukocytosis, which causes increased blood viscosity with decreased CNS perfusion.</w:t>
      </w:r>
    </w:p>
    <w:p w:rsidR="00433064" w:rsidRPr="004339C2" w:rsidRDefault="00433064" w:rsidP="00433064">
      <w:pPr>
        <w:autoSpaceDE w:val="0"/>
        <w:autoSpaceDN w:val="0"/>
        <w:adjustRightInd w:val="0"/>
        <w:spacing w:after="0" w:line="240" w:lineRule="auto"/>
        <w:rPr>
          <w:rFonts w:asciiTheme="majorBidi" w:hAnsiTheme="majorBidi" w:cstheme="majorBidi"/>
          <w:sz w:val="24"/>
          <w:szCs w:val="24"/>
        </w:rPr>
      </w:pPr>
      <w:r w:rsidRPr="004339C2">
        <w:rPr>
          <w:rFonts w:asciiTheme="majorBidi" w:hAnsiTheme="majorBidi" w:cstheme="majorBidi"/>
          <w:color w:val="000000"/>
          <w:sz w:val="24"/>
          <w:szCs w:val="24"/>
        </w:rPr>
        <w:t xml:space="preserve"> </w:t>
      </w:r>
      <w:r w:rsidRPr="004339C2">
        <w:rPr>
          <w:rFonts w:asciiTheme="majorBidi" w:hAnsiTheme="majorBidi" w:cstheme="majorBidi"/>
          <w:b/>
          <w:bCs/>
          <w:sz w:val="24"/>
          <w:szCs w:val="24"/>
        </w:rPr>
        <w:t xml:space="preserve">Imatinib (Gleevec), </w:t>
      </w:r>
      <w:r w:rsidRPr="004339C2">
        <w:rPr>
          <w:rFonts w:asciiTheme="majorBidi" w:hAnsiTheme="majorBidi" w:cstheme="majorBidi"/>
          <w:sz w:val="24"/>
          <w:szCs w:val="24"/>
        </w:rPr>
        <w:t xml:space="preserve">an agent designed specifically to inhibit the </w:t>
      </w:r>
      <w:r w:rsidRPr="004339C2">
        <w:rPr>
          <w:rFonts w:asciiTheme="majorBidi" w:hAnsiTheme="majorBidi" w:cstheme="majorBidi"/>
          <w:i/>
          <w:iCs/>
          <w:sz w:val="24"/>
          <w:szCs w:val="24"/>
        </w:rPr>
        <w:t xml:space="preserve">BCR-ABL </w:t>
      </w:r>
      <w:r w:rsidRPr="004339C2">
        <w:rPr>
          <w:rFonts w:asciiTheme="majorBidi" w:hAnsiTheme="majorBidi" w:cstheme="majorBidi"/>
          <w:sz w:val="24"/>
          <w:szCs w:val="24"/>
        </w:rPr>
        <w:t xml:space="preserve">tyrosine kinase, has been used in adults and children and has shown an ability to produce major cytogenetic </w:t>
      </w:r>
      <w:r>
        <w:rPr>
          <w:rFonts w:asciiTheme="majorBidi" w:hAnsiTheme="majorBidi" w:cstheme="majorBidi"/>
          <w:sz w:val="24"/>
          <w:szCs w:val="24"/>
        </w:rPr>
        <w:t>r</w:t>
      </w:r>
      <w:r w:rsidRPr="004339C2">
        <w:rPr>
          <w:rFonts w:asciiTheme="majorBidi" w:hAnsiTheme="majorBidi" w:cstheme="majorBidi"/>
          <w:sz w:val="24"/>
          <w:szCs w:val="24"/>
        </w:rPr>
        <w:t>esponses in &gt;70% of patients . Experience in children suggests it can be used safely with results comparable to those seen in adults.</w:t>
      </w:r>
      <w:r>
        <w:rPr>
          <w:rFonts w:asciiTheme="majorBidi" w:hAnsiTheme="majorBidi" w:cstheme="majorBidi"/>
          <w:sz w:val="24"/>
          <w:szCs w:val="24"/>
        </w:rPr>
        <w:t xml:space="preserve"> The</w:t>
      </w:r>
      <w:r w:rsidRPr="004339C2">
        <w:rPr>
          <w:rFonts w:asciiTheme="majorBidi" w:hAnsiTheme="majorBidi" w:cstheme="majorBidi"/>
          <w:sz w:val="24"/>
          <w:szCs w:val="24"/>
        </w:rPr>
        <w:t xml:space="preserve"> threatening signs and symptoms of CML can be controlled during the chronic phase with </w:t>
      </w:r>
      <w:r w:rsidRPr="002C1492">
        <w:rPr>
          <w:rFonts w:asciiTheme="majorBidi" w:hAnsiTheme="majorBidi" w:cstheme="majorBidi"/>
          <w:b/>
          <w:bCs/>
          <w:sz w:val="24"/>
          <w:szCs w:val="24"/>
        </w:rPr>
        <w:t>hydroxyurea</w:t>
      </w:r>
      <w:r w:rsidRPr="004339C2">
        <w:rPr>
          <w:rFonts w:asciiTheme="majorBidi" w:hAnsiTheme="majorBidi" w:cstheme="majorBidi"/>
          <w:sz w:val="24"/>
          <w:szCs w:val="24"/>
        </w:rPr>
        <w:t xml:space="preserve">, which gradually returns the leukocyte count to normal. Prolonged morphologic and cytogenetic responses are expected, but the opportunity for cure is enhanced by </w:t>
      </w:r>
      <w:r w:rsidRPr="00220D88">
        <w:rPr>
          <w:rFonts w:asciiTheme="majorBidi" w:hAnsiTheme="majorBidi" w:cstheme="majorBidi"/>
          <w:i/>
          <w:iCs/>
          <w:sz w:val="24"/>
          <w:szCs w:val="24"/>
        </w:rPr>
        <w:t>human leukocyte antigen–matched family donor allogeneic stem cell transplant,</w:t>
      </w:r>
      <w:r w:rsidRPr="004339C2">
        <w:rPr>
          <w:rFonts w:asciiTheme="majorBidi" w:hAnsiTheme="majorBidi" w:cstheme="majorBidi"/>
          <w:sz w:val="24"/>
          <w:szCs w:val="24"/>
        </w:rPr>
        <w:t xml:space="preserve"> with up to 80% of children achieving a cure.</w:t>
      </w:r>
    </w:p>
    <w:p w:rsidR="00571AF1" w:rsidRDefault="00571AF1">
      <w:pPr>
        <w:rPr>
          <w:rFonts w:hint="cs"/>
          <w:lang w:bidi="ar-IQ"/>
        </w:rPr>
      </w:pPr>
    </w:p>
    <w:sectPr w:rsidR="0057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39"/>
    <w:rsid w:val="00433064"/>
    <w:rsid w:val="00571AF1"/>
    <w:rsid w:val="00740D75"/>
    <w:rsid w:val="007F3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65684-2349-490C-9E76-C12690A6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0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2017-05-02T09:47:00Z</dcterms:created>
  <dcterms:modified xsi:type="dcterms:W3CDTF">2017-05-02T09:47:00Z</dcterms:modified>
</cp:coreProperties>
</file>