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19" w:rsidRDefault="00EE25F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سادسا:- </w:t>
      </w:r>
      <w:proofErr w:type="gramStart"/>
      <w:r>
        <w:rPr>
          <w:rFonts w:hint="cs"/>
          <w:sz w:val="32"/>
          <w:szCs w:val="32"/>
          <w:rtl/>
          <w:lang w:bidi="ar-IQ"/>
        </w:rPr>
        <w:t>طريقة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التجزئة//</w:t>
      </w:r>
    </w:p>
    <w:p w:rsidR="00EE25FB" w:rsidRDefault="00EE25FB" w:rsidP="002C060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تواجه المحاسبة عن المخزون في </w:t>
      </w:r>
      <w:r w:rsidR="002C0608">
        <w:rPr>
          <w:rFonts w:hint="cs"/>
          <w:sz w:val="32"/>
          <w:szCs w:val="32"/>
          <w:rtl/>
          <w:lang w:bidi="ar-IQ"/>
        </w:rPr>
        <w:t>المنشآت</w:t>
      </w:r>
      <w:r>
        <w:rPr>
          <w:rFonts w:hint="cs"/>
          <w:sz w:val="32"/>
          <w:szCs w:val="32"/>
          <w:rtl/>
          <w:lang w:bidi="ar-IQ"/>
        </w:rPr>
        <w:t xml:space="preserve"> الب</w:t>
      </w:r>
      <w:r w:rsidR="002C0608">
        <w:rPr>
          <w:rFonts w:hint="cs"/>
          <w:sz w:val="32"/>
          <w:szCs w:val="32"/>
          <w:rtl/>
          <w:lang w:bidi="ar-IQ"/>
        </w:rPr>
        <w:t>يع بالتجزئة بعض التحديات فالمنشآ</w:t>
      </w:r>
      <w:r>
        <w:rPr>
          <w:rFonts w:hint="cs"/>
          <w:sz w:val="32"/>
          <w:szCs w:val="32"/>
          <w:rtl/>
          <w:lang w:bidi="ar-IQ"/>
        </w:rPr>
        <w:t xml:space="preserve">ت التي تبيع سلعا محدودة الانواع و العدد </w:t>
      </w:r>
      <w:r w:rsidR="002C0608">
        <w:rPr>
          <w:rFonts w:hint="cs"/>
          <w:sz w:val="32"/>
          <w:szCs w:val="32"/>
          <w:rtl/>
          <w:lang w:bidi="ar-IQ"/>
        </w:rPr>
        <w:t>كمنشآت</w:t>
      </w:r>
      <w:r>
        <w:rPr>
          <w:rFonts w:hint="cs"/>
          <w:sz w:val="32"/>
          <w:szCs w:val="32"/>
          <w:rtl/>
          <w:lang w:bidi="ar-IQ"/>
        </w:rPr>
        <w:t xml:space="preserve"> شراء السيارات او المكائن الزراعية وغيرها يمكنها</w:t>
      </w:r>
      <w:r w:rsidR="002C060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استخدام طريقة التكلفة المحدودة في حين ان </w:t>
      </w:r>
      <w:r w:rsidR="002C0608">
        <w:rPr>
          <w:rFonts w:hint="cs"/>
          <w:sz w:val="32"/>
          <w:szCs w:val="32"/>
          <w:rtl/>
          <w:lang w:bidi="ar-IQ"/>
        </w:rPr>
        <w:t>المنشآت</w:t>
      </w:r>
      <w:r>
        <w:rPr>
          <w:rFonts w:hint="cs"/>
          <w:sz w:val="32"/>
          <w:szCs w:val="32"/>
          <w:rtl/>
          <w:lang w:bidi="ar-IQ"/>
        </w:rPr>
        <w:t xml:space="preserve"> الاخرة التي تبيع بالتجزئة سلعا متعددة الانواع ضئيلة القيمة يكون من الصعب عليها تحديد تكلفة البضاعة او المتبقية من كل انواع مثل ( شركات البيع العدد والخردوات او بيع اللوازم المدرسية ....... الخ ) </w:t>
      </w:r>
    </w:p>
    <w:p w:rsidR="00EE25FB" w:rsidRDefault="00EE25FB" w:rsidP="002C060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مثال:-  </w:t>
      </w:r>
      <w:r>
        <w:rPr>
          <w:rFonts w:hint="cs"/>
          <w:sz w:val="32"/>
          <w:szCs w:val="32"/>
          <w:rtl/>
          <w:lang w:bidi="ar-IQ"/>
        </w:rPr>
        <w:t xml:space="preserve">تقويم </w:t>
      </w:r>
      <w:r>
        <w:rPr>
          <w:rFonts w:hint="cs"/>
          <w:sz w:val="32"/>
          <w:szCs w:val="32"/>
          <w:rtl/>
          <w:lang w:bidi="ar-IQ"/>
        </w:rPr>
        <w:t xml:space="preserve">تكلفة </w:t>
      </w:r>
      <w:r>
        <w:rPr>
          <w:rFonts w:hint="cs"/>
          <w:sz w:val="32"/>
          <w:szCs w:val="32"/>
          <w:rtl/>
          <w:lang w:bidi="ar-IQ"/>
        </w:rPr>
        <w:t>المخزون</w:t>
      </w:r>
      <w:r>
        <w:rPr>
          <w:rFonts w:hint="cs"/>
          <w:sz w:val="32"/>
          <w:szCs w:val="32"/>
          <w:rtl/>
          <w:lang w:bidi="ar-IQ"/>
        </w:rPr>
        <w:t xml:space="preserve"> اخر المدة وفق طريقة التجزئة//</w:t>
      </w:r>
    </w:p>
    <w:p w:rsidR="00EE25FB" w:rsidRDefault="00EE25FB" w:rsidP="002C060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البيانات التالية تعو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د </w:t>
      </w:r>
      <w:r w:rsidR="002C0608">
        <w:rPr>
          <w:rFonts w:hint="cs"/>
          <w:sz w:val="32"/>
          <w:szCs w:val="32"/>
          <w:rtl/>
          <w:lang w:bidi="ar-IQ"/>
        </w:rPr>
        <w:t>لأحدى</w:t>
      </w:r>
      <w:r>
        <w:rPr>
          <w:rFonts w:hint="cs"/>
          <w:sz w:val="32"/>
          <w:szCs w:val="32"/>
          <w:rtl/>
          <w:lang w:bidi="ar-IQ"/>
        </w:rPr>
        <w:t xml:space="preserve"> الاسواق التجزئة:-</w:t>
      </w:r>
    </w:p>
    <w:p w:rsidR="00EE25FB" w:rsidRDefault="00EE25FB" w:rsidP="002C0608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 w:rsidRPr="005B3F2B">
        <w:rPr>
          <w:rFonts w:hint="cs"/>
          <w:sz w:val="32"/>
          <w:szCs w:val="32"/>
          <w:rtl/>
          <w:lang w:bidi="ar-IQ"/>
        </w:rPr>
        <w:t>مخزون اول المدة</w:t>
      </w:r>
      <w:r>
        <w:rPr>
          <w:rFonts w:hint="cs"/>
          <w:sz w:val="32"/>
          <w:szCs w:val="32"/>
          <w:rtl/>
          <w:lang w:bidi="ar-IQ"/>
        </w:rPr>
        <w:t xml:space="preserve"> 1/1/2008 تكلفة 28000 دينار وسعر بيعها بالتجزئة 40000 دينار.</w:t>
      </w:r>
    </w:p>
    <w:p w:rsidR="002C0608" w:rsidRDefault="002C0608" w:rsidP="002C0608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المشتريات </w:t>
      </w:r>
      <w:proofErr w:type="gramStart"/>
      <w:r w:rsidR="00EA1A51">
        <w:rPr>
          <w:rFonts w:hint="cs"/>
          <w:sz w:val="32"/>
          <w:szCs w:val="32"/>
          <w:rtl/>
          <w:lang w:bidi="ar-IQ"/>
        </w:rPr>
        <w:t>كانت</w:t>
      </w:r>
      <w:proofErr w:type="gramEnd"/>
      <w:r w:rsidR="00EA1A51">
        <w:rPr>
          <w:rFonts w:hint="cs"/>
          <w:sz w:val="32"/>
          <w:szCs w:val="32"/>
          <w:rtl/>
          <w:lang w:bidi="ar-IQ"/>
        </w:rPr>
        <w:t xml:space="preserve"> بالتكلفة 126000 دينار وسعر بيعها بالتجزئة 180000 دينار خلال سنة 2008 </w:t>
      </w:r>
    </w:p>
    <w:p w:rsidR="00EE25FB" w:rsidRDefault="00EA1A51" w:rsidP="002C0608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.</w:t>
      </w:r>
    </w:p>
    <w:p w:rsidR="00EA1A51" w:rsidRDefault="00EA1A51" w:rsidP="002C0608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المبيعات الفعلية خلال السنة 170000 دينار.</w:t>
      </w:r>
    </w:p>
    <w:p w:rsidR="00EA1A51" w:rsidRDefault="00EA1A51" w:rsidP="002C0608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 w:rsidRPr="005B3F2B">
        <w:rPr>
          <w:rFonts w:hint="cs"/>
          <w:sz w:val="32"/>
          <w:szCs w:val="32"/>
          <w:rtl/>
          <w:lang w:bidi="ar-IQ"/>
        </w:rPr>
        <w:t>مخزون اخر المدة</w:t>
      </w:r>
      <w:r>
        <w:rPr>
          <w:rFonts w:hint="cs"/>
          <w:sz w:val="32"/>
          <w:szCs w:val="32"/>
          <w:rtl/>
          <w:lang w:bidi="ar-IQ"/>
        </w:rPr>
        <w:t xml:space="preserve"> بالتجزئة 50000 دينار.</w:t>
      </w:r>
    </w:p>
    <w:p w:rsidR="00EA1A51" w:rsidRDefault="00EA1A51" w:rsidP="002C0608">
      <w:pPr>
        <w:ind w:left="360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المطلوب// تحديد تكلفة البضاعة المتبقية اخر الفترة 31/12/2008.</w:t>
      </w:r>
    </w:p>
    <w:p w:rsidR="00EA1A51" w:rsidRDefault="00EA1A51" w:rsidP="002C0608">
      <w:pPr>
        <w:ind w:left="360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الحل//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659"/>
        <w:gridCol w:w="2268"/>
        <w:gridCol w:w="2235"/>
      </w:tblGrid>
      <w:tr w:rsidR="00EA1A51" w:rsidTr="00EA1A51">
        <w:tc>
          <w:tcPr>
            <w:tcW w:w="3659" w:type="dxa"/>
          </w:tcPr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البيان</w:t>
            </w:r>
          </w:p>
        </w:tc>
        <w:tc>
          <w:tcPr>
            <w:tcW w:w="2268" w:type="dxa"/>
          </w:tcPr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التكلفة</w:t>
            </w:r>
          </w:p>
        </w:tc>
        <w:tc>
          <w:tcPr>
            <w:tcW w:w="2235" w:type="dxa"/>
          </w:tcPr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التجزئة</w:t>
            </w:r>
          </w:p>
        </w:tc>
      </w:tr>
      <w:tr w:rsidR="00EA1A51" w:rsidTr="00EA1A51">
        <w:tc>
          <w:tcPr>
            <w:tcW w:w="3659" w:type="dxa"/>
          </w:tcPr>
          <w:p w:rsidR="00EA1A51" w:rsidRP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A1A51">
              <w:rPr>
                <w:rFonts w:hint="cs"/>
                <w:sz w:val="32"/>
                <w:szCs w:val="32"/>
                <w:rtl/>
                <w:lang w:bidi="ar-IQ"/>
              </w:rPr>
              <w:t>مخزون اول المدة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المشتريات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البضاعة المتاحة للبيع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المبيعات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مخزون اخر المدة بسعر البيع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نسبة تكلفة الى سعر البيع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مخزون اخر الفترة بسعر تكلفة</w:t>
            </w:r>
          </w:p>
        </w:tc>
        <w:tc>
          <w:tcPr>
            <w:tcW w:w="2268" w:type="dxa"/>
          </w:tcPr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28000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126000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154000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70%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35000</w:t>
            </w:r>
          </w:p>
        </w:tc>
        <w:tc>
          <w:tcPr>
            <w:tcW w:w="2235" w:type="dxa"/>
          </w:tcPr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40000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180000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220000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170000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50000</w:t>
            </w: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  <w:tr w:rsidR="00EA1A51" w:rsidTr="00C13461">
        <w:tc>
          <w:tcPr>
            <w:tcW w:w="8162" w:type="dxa"/>
            <w:gridSpan w:val="3"/>
          </w:tcPr>
          <w:p w:rsidR="00EA1A51" w:rsidRDefault="00EA1A51" w:rsidP="002C060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154000÷ 220000×100= 70%</w:t>
            </w:r>
            <w:r w:rsidR="002C0608">
              <w:rPr>
                <w:rFonts w:hint="cs"/>
                <w:sz w:val="32"/>
                <w:szCs w:val="32"/>
                <w:rtl/>
                <w:lang w:bidi="ar-IQ"/>
              </w:rPr>
              <w:t xml:space="preserve"> //  (50000×70%= 35000)</w:t>
            </w:r>
          </w:p>
        </w:tc>
      </w:tr>
    </w:tbl>
    <w:p w:rsidR="00EA1A51" w:rsidRPr="00EA1A51" w:rsidRDefault="00EA1A51" w:rsidP="002C0608">
      <w:pPr>
        <w:ind w:left="360"/>
        <w:jc w:val="both"/>
        <w:rPr>
          <w:rFonts w:hint="cs"/>
          <w:sz w:val="32"/>
          <w:szCs w:val="32"/>
          <w:lang w:bidi="ar-IQ"/>
        </w:rPr>
      </w:pPr>
    </w:p>
    <w:sectPr w:rsidR="00EA1A51" w:rsidRPr="00EA1A51" w:rsidSect="00EE25FB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19B8"/>
    <w:multiLevelType w:val="hybridMultilevel"/>
    <w:tmpl w:val="5ACCAFCE"/>
    <w:lvl w:ilvl="0" w:tplc="87EE4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B"/>
    <w:rsid w:val="0001670F"/>
    <w:rsid w:val="00024AFD"/>
    <w:rsid w:val="0002737A"/>
    <w:rsid w:val="00043C1C"/>
    <w:rsid w:val="000740C3"/>
    <w:rsid w:val="001119B0"/>
    <w:rsid w:val="001337D6"/>
    <w:rsid w:val="00137ADE"/>
    <w:rsid w:val="001434B7"/>
    <w:rsid w:val="001473FE"/>
    <w:rsid w:val="0014746E"/>
    <w:rsid w:val="00155078"/>
    <w:rsid w:val="00191D02"/>
    <w:rsid w:val="00196E70"/>
    <w:rsid w:val="00197289"/>
    <w:rsid w:val="001C5218"/>
    <w:rsid w:val="001D660A"/>
    <w:rsid w:val="001F0751"/>
    <w:rsid w:val="001F7626"/>
    <w:rsid w:val="002116B2"/>
    <w:rsid w:val="00216D1D"/>
    <w:rsid w:val="00222119"/>
    <w:rsid w:val="002227A8"/>
    <w:rsid w:val="002314E3"/>
    <w:rsid w:val="00257CF5"/>
    <w:rsid w:val="00263126"/>
    <w:rsid w:val="00287215"/>
    <w:rsid w:val="002B43BE"/>
    <w:rsid w:val="002C0608"/>
    <w:rsid w:val="002D31CA"/>
    <w:rsid w:val="002D4D13"/>
    <w:rsid w:val="002F3A15"/>
    <w:rsid w:val="00316E00"/>
    <w:rsid w:val="00324EB9"/>
    <w:rsid w:val="00332CFD"/>
    <w:rsid w:val="003375D0"/>
    <w:rsid w:val="00372C09"/>
    <w:rsid w:val="00394143"/>
    <w:rsid w:val="003A0B1A"/>
    <w:rsid w:val="003B05AD"/>
    <w:rsid w:val="003C2F72"/>
    <w:rsid w:val="003C3797"/>
    <w:rsid w:val="00413BE7"/>
    <w:rsid w:val="00424B9B"/>
    <w:rsid w:val="00455E39"/>
    <w:rsid w:val="00485380"/>
    <w:rsid w:val="004A0C3B"/>
    <w:rsid w:val="004A5A51"/>
    <w:rsid w:val="004B09CA"/>
    <w:rsid w:val="004B3019"/>
    <w:rsid w:val="004C159E"/>
    <w:rsid w:val="00500B19"/>
    <w:rsid w:val="00502F71"/>
    <w:rsid w:val="00545C3A"/>
    <w:rsid w:val="00561F4C"/>
    <w:rsid w:val="005725B7"/>
    <w:rsid w:val="00581AE2"/>
    <w:rsid w:val="00584529"/>
    <w:rsid w:val="00591789"/>
    <w:rsid w:val="005A088C"/>
    <w:rsid w:val="005D6395"/>
    <w:rsid w:val="005E3D39"/>
    <w:rsid w:val="00633E8C"/>
    <w:rsid w:val="00647404"/>
    <w:rsid w:val="00684C58"/>
    <w:rsid w:val="006A38E8"/>
    <w:rsid w:val="006B5F4B"/>
    <w:rsid w:val="006E1C23"/>
    <w:rsid w:val="006F793E"/>
    <w:rsid w:val="007038E2"/>
    <w:rsid w:val="007065C6"/>
    <w:rsid w:val="0070706D"/>
    <w:rsid w:val="007144D0"/>
    <w:rsid w:val="00727C7D"/>
    <w:rsid w:val="00751647"/>
    <w:rsid w:val="00754289"/>
    <w:rsid w:val="00783478"/>
    <w:rsid w:val="007B1076"/>
    <w:rsid w:val="007E0BFE"/>
    <w:rsid w:val="00883CFE"/>
    <w:rsid w:val="00897713"/>
    <w:rsid w:val="008B0F4D"/>
    <w:rsid w:val="008D3850"/>
    <w:rsid w:val="008D544E"/>
    <w:rsid w:val="008E261D"/>
    <w:rsid w:val="00901CA2"/>
    <w:rsid w:val="00901EAF"/>
    <w:rsid w:val="00904098"/>
    <w:rsid w:val="00943077"/>
    <w:rsid w:val="00944048"/>
    <w:rsid w:val="00946FF1"/>
    <w:rsid w:val="009C4AFA"/>
    <w:rsid w:val="009E6FCE"/>
    <w:rsid w:val="00A11630"/>
    <w:rsid w:val="00A126DE"/>
    <w:rsid w:val="00A411AA"/>
    <w:rsid w:val="00A53592"/>
    <w:rsid w:val="00A62EB0"/>
    <w:rsid w:val="00AD4389"/>
    <w:rsid w:val="00AF67D1"/>
    <w:rsid w:val="00B13D10"/>
    <w:rsid w:val="00B14136"/>
    <w:rsid w:val="00B21983"/>
    <w:rsid w:val="00B25A58"/>
    <w:rsid w:val="00B33D9D"/>
    <w:rsid w:val="00B457D6"/>
    <w:rsid w:val="00B51C6F"/>
    <w:rsid w:val="00B52DBA"/>
    <w:rsid w:val="00B54823"/>
    <w:rsid w:val="00B954B4"/>
    <w:rsid w:val="00B95D16"/>
    <w:rsid w:val="00BD6C2A"/>
    <w:rsid w:val="00BE5A5E"/>
    <w:rsid w:val="00C01173"/>
    <w:rsid w:val="00C15245"/>
    <w:rsid w:val="00C23436"/>
    <w:rsid w:val="00C23F3A"/>
    <w:rsid w:val="00C32C52"/>
    <w:rsid w:val="00C509FE"/>
    <w:rsid w:val="00CB76B6"/>
    <w:rsid w:val="00CC3203"/>
    <w:rsid w:val="00CC5C6D"/>
    <w:rsid w:val="00CF5C0A"/>
    <w:rsid w:val="00CF69D6"/>
    <w:rsid w:val="00D01440"/>
    <w:rsid w:val="00D04D7E"/>
    <w:rsid w:val="00D17BD5"/>
    <w:rsid w:val="00D2311B"/>
    <w:rsid w:val="00D83DB0"/>
    <w:rsid w:val="00DB1AF9"/>
    <w:rsid w:val="00E01306"/>
    <w:rsid w:val="00E01362"/>
    <w:rsid w:val="00E22820"/>
    <w:rsid w:val="00E53E50"/>
    <w:rsid w:val="00E5725F"/>
    <w:rsid w:val="00E80FB0"/>
    <w:rsid w:val="00E84330"/>
    <w:rsid w:val="00E9314F"/>
    <w:rsid w:val="00EA1A51"/>
    <w:rsid w:val="00EA70B8"/>
    <w:rsid w:val="00EB4956"/>
    <w:rsid w:val="00EB6681"/>
    <w:rsid w:val="00EE25FB"/>
    <w:rsid w:val="00EF205A"/>
    <w:rsid w:val="00EF419D"/>
    <w:rsid w:val="00EF7DF6"/>
    <w:rsid w:val="00F24C15"/>
    <w:rsid w:val="00F32A77"/>
    <w:rsid w:val="00F445A8"/>
    <w:rsid w:val="00F8292B"/>
    <w:rsid w:val="00F943F2"/>
    <w:rsid w:val="00FB3F03"/>
    <w:rsid w:val="00FC5F60"/>
    <w:rsid w:val="00FE30A8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FB"/>
    <w:pPr>
      <w:ind w:left="720"/>
      <w:contextualSpacing/>
    </w:pPr>
  </w:style>
  <w:style w:type="table" w:styleId="a4">
    <w:name w:val="Table Grid"/>
    <w:basedOn w:val="a1"/>
    <w:uiPriority w:val="59"/>
    <w:rsid w:val="00EA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FB"/>
    <w:pPr>
      <w:ind w:left="720"/>
      <w:contextualSpacing/>
    </w:pPr>
  </w:style>
  <w:style w:type="table" w:styleId="a4">
    <w:name w:val="Table Grid"/>
    <w:basedOn w:val="a1"/>
    <w:uiPriority w:val="59"/>
    <w:rsid w:val="00EA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الرواسي</dc:creator>
  <cp:lastModifiedBy>الرواسي</cp:lastModifiedBy>
  <cp:revision>1</cp:revision>
  <dcterms:created xsi:type="dcterms:W3CDTF">2013-05-16T17:52:00Z</dcterms:created>
  <dcterms:modified xsi:type="dcterms:W3CDTF">2013-05-16T18:15:00Z</dcterms:modified>
</cp:coreProperties>
</file>