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ED4" w:rsidRDefault="00EF3ED4" w:rsidP="00782652">
      <w:pPr>
        <w:jc w:val="right"/>
        <w:rPr>
          <w:b/>
          <w:bCs/>
          <w:sz w:val="28"/>
          <w:szCs w:val="28"/>
          <w:rtl/>
          <w:lang w:bidi="ar-IQ"/>
        </w:rPr>
      </w:pPr>
      <w:r>
        <w:rPr>
          <w:b/>
          <w:bCs/>
          <w:sz w:val="28"/>
          <w:szCs w:val="28"/>
        </w:rPr>
        <w:t>L.1</w:t>
      </w:r>
      <w:r w:rsidR="00782652">
        <w:rPr>
          <w:b/>
          <w:bCs/>
          <w:sz w:val="28"/>
          <w:szCs w:val="28"/>
        </w:rPr>
        <w:t>1</w:t>
      </w:r>
      <w:r>
        <w:rPr>
          <w:b/>
          <w:bCs/>
          <w:sz w:val="28"/>
          <w:szCs w:val="28"/>
        </w:rPr>
        <w:t xml:space="preserve">-   </w:t>
      </w:r>
      <w:r w:rsidR="00415600">
        <w:rPr>
          <w:b/>
          <w:bCs/>
          <w:sz w:val="28"/>
          <w:szCs w:val="28"/>
        </w:rPr>
        <w:t xml:space="preserve">Biotechnology       </w:t>
      </w:r>
      <w:r>
        <w:rPr>
          <w:b/>
          <w:bCs/>
          <w:sz w:val="28"/>
          <w:szCs w:val="28"/>
        </w:rPr>
        <w:t xml:space="preserve">                Mycology                       D.</w:t>
      </w:r>
      <w:r w:rsidR="00415600">
        <w:rPr>
          <w:b/>
          <w:bCs/>
          <w:sz w:val="28"/>
          <w:szCs w:val="28"/>
        </w:rPr>
        <w:t>I</w:t>
      </w:r>
      <w:r>
        <w:rPr>
          <w:b/>
          <w:bCs/>
          <w:sz w:val="28"/>
          <w:szCs w:val="28"/>
        </w:rPr>
        <w:t>btihal Muiz</w:t>
      </w:r>
    </w:p>
    <w:p w:rsidR="00EF3ED4" w:rsidRPr="004768CE" w:rsidRDefault="00EF3ED4" w:rsidP="00EF3ED4">
      <w:pPr>
        <w:pStyle w:val="a5"/>
        <w:rPr>
          <w:rStyle w:val="a4"/>
          <w:color w:val="000080"/>
          <w:sz w:val="28"/>
          <w:szCs w:val="28"/>
        </w:rPr>
      </w:pPr>
      <w:r w:rsidRPr="004768CE">
        <w:rPr>
          <w:rStyle w:val="a4"/>
          <w:color w:val="000080"/>
          <w:sz w:val="28"/>
          <w:szCs w:val="28"/>
        </w:rPr>
        <w:t>Division: Basidiomycota</w:t>
      </w:r>
    </w:p>
    <w:p w:rsidR="00EF3ED4" w:rsidRPr="004768CE" w:rsidRDefault="00EF3ED4" w:rsidP="00EF3ED4">
      <w:pPr>
        <w:pStyle w:val="a5"/>
        <w:rPr>
          <w:sz w:val="28"/>
          <w:szCs w:val="28"/>
        </w:rPr>
      </w:pPr>
      <w:r w:rsidRPr="004768CE">
        <w:rPr>
          <w:rStyle w:val="a4"/>
          <w:color w:val="000080"/>
          <w:sz w:val="28"/>
          <w:szCs w:val="28"/>
        </w:rPr>
        <w:t>Introduction</w:t>
      </w:r>
    </w:p>
    <w:p w:rsidR="00EF3ED4" w:rsidRPr="00EF3ED4" w:rsidRDefault="00EF3ED4" w:rsidP="00EF3ED4">
      <w:pPr>
        <w:pStyle w:val="a5"/>
        <w:rPr>
          <w:rFonts w:asciiTheme="majorBidi" w:hAnsiTheme="majorBidi" w:cstheme="majorBidi"/>
          <w:sz w:val="28"/>
          <w:szCs w:val="28"/>
        </w:rPr>
      </w:pPr>
      <w:r>
        <w:rPr>
          <w:rFonts w:ascii="Arial" w:hAnsi="Arial" w:cs="Arial"/>
        </w:rPr>
        <w:t xml:space="preserve">   </w:t>
      </w:r>
      <w:r w:rsidRPr="00EF3ED4">
        <w:rPr>
          <w:rFonts w:asciiTheme="majorBidi" w:hAnsiTheme="majorBidi" w:cstheme="majorBidi"/>
          <w:sz w:val="28"/>
          <w:szCs w:val="28"/>
        </w:rPr>
        <w:t xml:space="preserve">The fungal group </w:t>
      </w:r>
      <w:r w:rsidRPr="00EF3ED4">
        <w:rPr>
          <w:rStyle w:val="a4"/>
          <w:rFonts w:asciiTheme="majorBidi" w:hAnsiTheme="majorBidi" w:cstheme="majorBidi"/>
          <w:sz w:val="28"/>
          <w:szCs w:val="28"/>
        </w:rPr>
        <w:t>basidiomycota</w:t>
      </w:r>
      <w:r w:rsidRPr="00EF3ED4">
        <w:rPr>
          <w:rFonts w:asciiTheme="majorBidi" w:hAnsiTheme="majorBidi" w:cstheme="majorBidi"/>
          <w:sz w:val="28"/>
          <w:szCs w:val="28"/>
        </w:rPr>
        <w:t xml:space="preserve"> is best known for the production of large fruit bodies such as the mushrooms, puffballs, brackets, etc. However, the group also contains some microscopic fungi, including the important rust fungi and smut fungi that parasitise plants (</w:t>
      </w:r>
      <w:hyperlink r:id="rId6" w:anchor="Top" w:history="1">
        <w:r w:rsidRPr="00EF3ED4">
          <w:rPr>
            <w:rStyle w:val="Hyperlink"/>
            <w:rFonts w:asciiTheme="majorBidi" w:hAnsiTheme="majorBidi" w:cstheme="majorBidi"/>
            <w:sz w:val="28"/>
            <w:szCs w:val="28"/>
          </w:rPr>
          <w:t>Biotrophic parasites</w:t>
        </w:r>
      </w:hyperlink>
      <w:r w:rsidRPr="00EF3ED4">
        <w:rPr>
          <w:rFonts w:asciiTheme="majorBidi" w:hAnsiTheme="majorBidi" w:cstheme="majorBidi"/>
          <w:sz w:val="28"/>
          <w:szCs w:val="28"/>
        </w:rPr>
        <w:t xml:space="preserve">), and some yeasts. One of these yeasts, </w:t>
      </w:r>
      <w:r w:rsidRPr="00EF3ED4">
        <w:rPr>
          <w:rStyle w:val="a6"/>
          <w:rFonts w:asciiTheme="majorBidi" w:hAnsiTheme="majorBidi" w:cstheme="majorBidi"/>
          <w:sz w:val="28"/>
          <w:szCs w:val="28"/>
        </w:rPr>
        <w:t>Sporobolomyces roseus</w:t>
      </w:r>
      <w:r w:rsidRPr="00EF3ED4">
        <w:rPr>
          <w:rFonts w:asciiTheme="majorBidi" w:hAnsiTheme="majorBidi" w:cstheme="majorBidi"/>
          <w:sz w:val="28"/>
          <w:szCs w:val="28"/>
        </w:rPr>
        <w:t xml:space="preserve">, is very common on moribund leaf surfaces and is a cause for concern because its basidiospores are respiratory allergens. Another is </w:t>
      </w:r>
      <w:r w:rsidRPr="00EF3ED4">
        <w:rPr>
          <w:rStyle w:val="a6"/>
          <w:rFonts w:asciiTheme="majorBidi" w:hAnsiTheme="majorBidi" w:cstheme="majorBidi"/>
          <w:sz w:val="28"/>
          <w:szCs w:val="28"/>
        </w:rPr>
        <w:t>Cryptococcus neoformans</w:t>
      </w:r>
      <w:r w:rsidRPr="00EF3ED4">
        <w:rPr>
          <w:rFonts w:asciiTheme="majorBidi" w:hAnsiTheme="majorBidi" w:cstheme="majorBidi"/>
          <w:sz w:val="28"/>
          <w:szCs w:val="28"/>
        </w:rPr>
        <w:t>, which grows commonly on old "weathered" bird droppings, and which can cause a fatal systemic infection of immunocompromised people. Its air-borne basidiospores initiate infection via the lungs, leading to the disease termed cryptococcosis. This is now the fourth most important life-threatening diseases of AIDS patients in the USA, and common also in Europe.</w:t>
      </w:r>
    </w:p>
    <w:p w:rsidR="00EF3ED4" w:rsidRPr="00EF3ED4" w:rsidRDefault="00EF3ED4" w:rsidP="00EF3ED4">
      <w:pPr>
        <w:pStyle w:val="a5"/>
        <w:rPr>
          <w:rFonts w:asciiTheme="majorBidi" w:hAnsiTheme="majorBidi" w:cstheme="majorBidi"/>
          <w:sz w:val="28"/>
          <w:szCs w:val="28"/>
        </w:rPr>
      </w:pPr>
      <w:r w:rsidRPr="00EF3ED4">
        <w:rPr>
          <w:rFonts w:asciiTheme="majorBidi" w:hAnsiTheme="majorBidi" w:cstheme="majorBidi"/>
          <w:sz w:val="28"/>
          <w:szCs w:val="28"/>
        </w:rPr>
        <w:t xml:space="preserve">Many of the basidiomycota with the larger fruit bodies (toadstools etc.) are common and important agents of wood decay (see </w:t>
      </w:r>
      <w:hyperlink r:id="rId7" w:anchor="Top" w:history="1">
        <w:r w:rsidRPr="00EF3ED4">
          <w:rPr>
            <w:rStyle w:val="Hyperlink"/>
            <w:rFonts w:asciiTheme="majorBidi" w:hAnsiTheme="majorBidi" w:cstheme="majorBidi"/>
            <w:sz w:val="28"/>
            <w:szCs w:val="28"/>
          </w:rPr>
          <w:t>Wood decay</w:t>
        </w:r>
      </w:hyperlink>
      <w:r w:rsidRPr="00EF3ED4">
        <w:rPr>
          <w:rFonts w:asciiTheme="majorBidi" w:hAnsiTheme="majorBidi" w:cstheme="majorBidi"/>
          <w:sz w:val="28"/>
          <w:szCs w:val="28"/>
        </w:rPr>
        <w:t xml:space="preserve">) or decomposers of leaf litter, animal dung, etc. Others are mycorrhizal on forest trees (see </w:t>
      </w:r>
      <w:hyperlink r:id="rId8" w:anchor="Top" w:history="1">
        <w:r w:rsidRPr="00EF3ED4">
          <w:rPr>
            <w:rStyle w:val="Hyperlink"/>
            <w:rFonts w:asciiTheme="majorBidi" w:hAnsiTheme="majorBidi" w:cstheme="majorBidi"/>
            <w:sz w:val="28"/>
            <w:szCs w:val="28"/>
          </w:rPr>
          <w:t>Mycorrhizas</w:t>
        </w:r>
      </w:hyperlink>
      <w:r w:rsidRPr="00EF3ED4">
        <w:rPr>
          <w:rFonts w:asciiTheme="majorBidi" w:hAnsiTheme="majorBidi" w:cstheme="majorBidi"/>
          <w:sz w:val="28"/>
          <w:szCs w:val="28"/>
        </w:rPr>
        <w:t xml:space="preserve">). Several species are grown commercially for food, including the common cultivated mushroom, </w:t>
      </w:r>
      <w:r w:rsidRPr="00EF3ED4">
        <w:rPr>
          <w:rStyle w:val="a6"/>
          <w:rFonts w:asciiTheme="majorBidi" w:hAnsiTheme="majorBidi" w:cstheme="majorBidi"/>
          <w:sz w:val="28"/>
          <w:szCs w:val="28"/>
        </w:rPr>
        <w:t>Agaricus bisporus</w:t>
      </w:r>
      <w:r w:rsidRPr="00EF3ED4">
        <w:rPr>
          <w:rFonts w:asciiTheme="majorBidi" w:hAnsiTheme="majorBidi" w:cstheme="majorBidi"/>
          <w:sz w:val="28"/>
          <w:szCs w:val="28"/>
        </w:rPr>
        <w:t>, and some more exotic species which can be found on supermarket shelves. For example, the supermarket package below contains the brown-coloured Shiitake mushroom (</w:t>
      </w:r>
      <w:r w:rsidRPr="00EF3ED4">
        <w:rPr>
          <w:rStyle w:val="a6"/>
          <w:rFonts w:asciiTheme="majorBidi" w:hAnsiTheme="majorBidi" w:cstheme="majorBidi"/>
          <w:sz w:val="28"/>
          <w:szCs w:val="28"/>
        </w:rPr>
        <w:t>Lentinus edodes</w:t>
      </w:r>
      <w:r w:rsidRPr="00EF3ED4">
        <w:rPr>
          <w:rFonts w:asciiTheme="majorBidi" w:hAnsiTheme="majorBidi" w:cstheme="majorBidi"/>
          <w:sz w:val="28"/>
          <w:szCs w:val="28"/>
        </w:rPr>
        <w:t>, traditionally grown in south-east Asia) and a mixture of grey, pink and yellow forms of the oyster fungus (</w:t>
      </w:r>
      <w:r w:rsidRPr="00EF3ED4">
        <w:rPr>
          <w:rStyle w:val="a6"/>
          <w:rFonts w:asciiTheme="majorBidi" w:hAnsiTheme="majorBidi" w:cstheme="majorBidi"/>
          <w:sz w:val="28"/>
          <w:szCs w:val="28"/>
        </w:rPr>
        <w:t>Pleurotus ostreatus</w:t>
      </w:r>
      <w:r w:rsidRPr="00EF3ED4">
        <w:rPr>
          <w:rFonts w:asciiTheme="majorBidi" w:hAnsiTheme="majorBidi" w:cstheme="majorBidi"/>
          <w:sz w:val="28"/>
          <w:szCs w:val="28"/>
        </w:rPr>
        <w:t>, reportedly an aphrodisiac).</w:t>
      </w:r>
    </w:p>
    <w:p w:rsidR="00EF3ED4" w:rsidRPr="00EF3ED4" w:rsidRDefault="00EF3ED4" w:rsidP="00EF3ED4">
      <w:pPr>
        <w:bidi w:val="0"/>
        <w:rPr>
          <w:rFonts w:asciiTheme="majorBidi" w:hAnsiTheme="majorBidi" w:cstheme="majorBidi"/>
          <w:sz w:val="28"/>
          <w:szCs w:val="28"/>
        </w:rPr>
      </w:pPr>
      <w:r w:rsidRPr="00EF3ED4">
        <w:rPr>
          <w:rStyle w:val="a4"/>
          <w:rFonts w:asciiTheme="majorBidi" w:hAnsiTheme="majorBidi" w:cstheme="majorBidi"/>
          <w:color w:val="000080"/>
          <w:sz w:val="28"/>
          <w:szCs w:val="28"/>
        </w:rPr>
        <w:t>Distinctive features and life cycle of the basidiomycota</w:t>
      </w:r>
      <w:r w:rsidRPr="00EF3ED4">
        <w:rPr>
          <w:rFonts w:asciiTheme="majorBidi" w:hAnsiTheme="majorBidi" w:cstheme="majorBidi"/>
          <w:sz w:val="28"/>
          <w:szCs w:val="28"/>
        </w:rPr>
        <w:t xml:space="preserve"> </w:t>
      </w:r>
    </w:p>
    <w:p w:rsidR="00EF3ED4" w:rsidRDefault="00EF3ED4" w:rsidP="00EF3ED4">
      <w:pPr>
        <w:pStyle w:val="a5"/>
        <w:rPr>
          <w:rFonts w:asciiTheme="majorBidi" w:hAnsiTheme="majorBidi" w:cstheme="majorBidi"/>
          <w:sz w:val="28"/>
          <w:szCs w:val="28"/>
        </w:rPr>
      </w:pPr>
      <w:r w:rsidRPr="00EF3ED4">
        <w:rPr>
          <w:rFonts w:asciiTheme="majorBidi" w:hAnsiTheme="majorBidi" w:cstheme="majorBidi"/>
          <w:sz w:val="28"/>
          <w:szCs w:val="28"/>
        </w:rPr>
        <w:t xml:space="preserve">        As a group, the basidiomycota have some highly characteristic features, which separate them from other fungi. They are the most evolutionarily advanced fungi, and even their hyphae have a dinstinctly "cellular" composition. This point is best illustrated by the life cycle below.</w:t>
      </w:r>
    </w:p>
    <w:p w:rsidR="00EF3ED4" w:rsidRDefault="00EF3ED4" w:rsidP="00EF3ED4">
      <w:pPr>
        <w:pStyle w:val="a5"/>
        <w:rPr>
          <w:rFonts w:asciiTheme="majorBidi" w:hAnsiTheme="majorBidi" w:cstheme="majorBidi"/>
          <w:sz w:val="28"/>
          <w:szCs w:val="28"/>
        </w:rPr>
      </w:pPr>
    </w:p>
    <w:p w:rsidR="00EF3ED4" w:rsidRPr="00EF3ED4" w:rsidRDefault="00EF3ED4" w:rsidP="00EF3ED4">
      <w:pPr>
        <w:pStyle w:val="a5"/>
        <w:rPr>
          <w:rFonts w:asciiTheme="majorBidi" w:hAnsiTheme="majorBidi" w:cstheme="majorBidi"/>
          <w:sz w:val="28"/>
          <w:szCs w:val="28"/>
        </w:rPr>
      </w:pPr>
    </w:p>
    <w:p w:rsidR="00EF3ED4" w:rsidRPr="00EF3ED4" w:rsidRDefault="00EF3ED4" w:rsidP="00EF3ED4">
      <w:pPr>
        <w:pStyle w:val="a5"/>
        <w:rPr>
          <w:rFonts w:asciiTheme="majorBidi" w:hAnsiTheme="majorBidi" w:cstheme="majorBidi"/>
          <w:sz w:val="28"/>
          <w:szCs w:val="28"/>
        </w:rPr>
      </w:pPr>
    </w:p>
    <w:p w:rsidR="00EF3ED4" w:rsidRPr="00EF3ED4" w:rsidRDefault="00EF3ED4" w:rsidP="00EF3ED4">
      <w:pPr>
        <w:pStyle w:val="a5"/>
        <w:jc w:val="center"/>
        <w:rPr>
          <w:rFonts w:asciiTheme="majorBidi" w:hAnsiTheme="majorBidi" w:cstheme="majorBidi"/>
          <w:sz w:val="28"/>
          <w:szCs w:val="28"/>
        </w:rPr>
      </w:pPr>
      <w:r w:rsidRPr="00EF3ED4">
        <w:rPr>
          <w:rFonts w:asciiTheme="majorBidi" w:hAnsiTheme="majorBidi" w:cstheme="majorBidi"/>
          <w:noProof/>
          <w:sz w:val="28"/>
          <w:szCs w:val="28"/>
        </w:rPr>
        <w:lastRenderedPageBreak/>
        <w:drawing>
          <wp:inline distT="0" distB="0" distL="0" distR="0">
            <wp:extent cx="4667250" cy="4181475"/>
            <wp:effectExtent l="19050" t="0" r="0" b="0"/>
            <wp:docPr id="28" name="صورة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srcRect/>
                    <a:stretch>
                      <a:fillRect/>
                    </a:stretch>
                  </pic:blipFill>
                  <pic:spPr bwMode="auto">
                    <a:xfrm>
                      <a:off x="0" y="0"/>
                      <a:ext cx="4667250" cy="4181475"/>
                    </a:xfrm>
                    <a:prstGeom prst="rect">
                      <a:avLst/>
                    </a:prstGeom>
                    <a:noFill/>
                    <a:ln w="9525">
                      <a:noFill/>
                      <a:miter lim="800000"/>
                      <a:headEnd/>
                      <a:tailEnd/>
                    </a:ln>
                  </pic:spPr>
                </pic:pic>
              </a:graphicData>
            </a:graphic>
          </wp:inline>
        </w:drawing>
      </w:r>
    </w:p>
    <w:p w:rsidR="00EF3ED4" w:rsidRPr="00EF3ED4" w:rsidRDefault="00EF3ED4" w:rsidP="00EF3ED4">
      <w:pPr>
        <w:pStyle w:val="a5"/>
        <w:rPr>
          <w:rFonts w:asciiTheme="majorBidi" w:hAnsiTheme="majorBidi" w:cstheme="majorBidi"/>
          <w:sz w:val="28"/>
          <w:szCs w:val="28"/>
        </w:rPr>
      </w:pPr>
      <w:r w:rsidRPr="00EF3ED4">
        <w:rPr>
          <w:rFonts w:asciiTheme="majorBidi" w:hAnsiTheme="majorBidi" w:cstheme="majorBidi"/>
          <w:sz w:val="28"/>
          <w:szCs w:val="28"/>
        </w:rPr>
        <w:t xml:space="preserve">The </w:t>
      </w:r>
      <w:r w:rsidRPr="00EF3ED4">
        <w:rPr>
          <w:rStyle w:val="a4"/>
          <w:rFonts w:asciiTheme="majorBidi" w:hAnsiTheme="majorBidi" w:cstheme="majorBidi"/>
          <w:sz w:val="28"/>
          <w:szCs w:val="28"/>
        </w:rPr>
        <w:t>basidiospores</w:t>
      </w:r>
      <w:r w:rsidRPr="00EF3ED4">
        <w:rPr>
          <w:rFonts w:asciiTheme="majorBidi" w:hAnsiTheme="majorBidi" w:cstheme="majorBidi"/>
          <w:sz w:val="28"/>
          <w:szCs w:val="28"/>
        </w:rPr>
        <w:t xml:space="preserve"> usually have a single haploid nucleus. When these spores germinate they produce hyphae with usually a single nucleus in each compartment. Because these hyphae have only one nuclear type they are termed </w:t>
      </w:r>
      <w:r w:rsidRPr="00EF3ED4">
        <w:rPr>
          <w:rStyle w:val="a4"/>
          <w:rFonts w:asciiTheme="majorBidi" w:hAnsiTheme="majorBidi" w:cstheme="majorBidi"/>
          <w:sz w:val="28"/>
          <w:szCs w:val="28"/>
        </w:rPr>
        <w:t>monokaryons</w:t>
      </w:r>
      <w:r w:rsidRPr="00EF3ED4">
        <w:rPr>
          <w:rFonts w:asciiTheme="majorBidi" w:hAnsiTheme="majorBidi" w:cstheme="majorBidi"/>
          <w:sz w:val="28"/>
          <w:szCs w:val="28"/>
        </w:rPr>
        <w:t xml:space="preserve"> (from the Greek, mono = one; karyos = kernel or nucleus). At some stage in their growth, two monokarons of different compatibility groups (mating types) fuse. This can occur either by simple hyphal fusions or by fusion of a hypha with a small spore termed an </w:t>
      </w:r>
      <w:r w:rsidRPr="00EF3ED4">
        <w:rPr>
          <w:rStyle w:val="a4"/>
          <w:rFonts w:asciiTheme="majorBidi" w:hAnsiTheme="majorBidi" w:cstheme="majorBidi"/>
          <w:sz w:val="28"/>
          <w:szCs w:val="28"/>
        </w:rPr>
        <w:t>oidium</w:t>
      </w:r>
      <w:r w:rsidRPr="00EF3ED4">
        <w:rPr>
          <w:rFonts w:asciiTheme="majorBidi" w:hAnsiTheme="majorBidi" w:cstheme="majorBidi"/>
          <w:sz w:val="28"/>
          <w:szCs w:val="28"/>
        </w:rPr>
        <w:t xml:space="preserve">. The fusion event is termed </w:t>
      </w:r>
      <w:r w:rsidRPr="00EF3ED4">
        <w:rPr>
          <w:rStyle w:val="a4"/>
          <w:rFonts w:asciiTheme="majorBidi" w:hAnsiTheme="majorBidi" w:cstheme="majorBidi"/>
          <w:sz w:val="28"/>
          <w:szCs w:val="28"/>
        </w:rPr>
        <w:t>plasmogamy</w:t>
      </w:r>
      <w:r w:rsidRPr="00EF3ED4">
        <w:rPr>
          <w:rFonts w:asciiTheme="majorBidi" w:hAnsiTheme="majorBidi" w:cstheme="majorBidi"/>
          <w:sz w:val="28"/>
          <w:szCs w:val="28"/>
        </w:rPr>
        <w:t xml:space="preserve">. Then the nuclei divide and the daughter nuclei pair so that each hyphal compatment comes to contain two nuclei - one of each mating type. At this stage the fungus is termed a </w:t>
      </w:r>
      <w:r w:rsidRPr="00EF3ED4">
        <w:rPr>
          <w:rStyle w:val="a4"/>
          <w:rFonts w:asciiTheme="majorBidi" w:hAnsiTheme="majorBidi" w:cstheme="majorBidi"/>
          <w:sz w:val="28"/>
          <w:szCs w:val="28"/>
        </w:rPr>
        <w:t>dikaryon</w:t>
      </w:r>
      <w:r w:rsidRPr="00EF3ED4">
        <w:rPr>
          <w:rFonts w:asciiTheme="majorBidi" w:hAnsiTheme="majorBidi" w:cstheme="majorBidi"/>
          <w:sz w:val="28"/>
          <w:szCs w:val="28"/>
        </w:rPr>
        <w:t xml:space="preserve"> (i.e. with two nuclear types). </w:t>
      </w:r>
    </w:p>
    <w:p w:rsidR="00EF3ED4" w:rsidRPr="00EF3ED4" w:rsidRDefault="00EF3ED4" w:rsidP="00EF3ED4">
      <w:pPr>
        <w:pStyle w:val="a5"/>
        <w:rPr>
          <w:rFonts w:asciiTheme="majorBidi" w:hAnsiTheme="majorBidi" w:cstheme="majorBidi"/>
          <w:sz w:val="28"/>
          <w:szCs w:val="28"/>
        </w:rPr>
      </w:pPr>
      <w:r w:rsidRPr="00EF3ED4">
        <w:rPr>
          <w:rFonts w:asciiTheme="majorBidi" w:hAnsiTheme="majorBidi" w:cstheme="majorBidi"/>
          <w:sz w:val="28"/>
          <w:szCs w:val="28"/>
        </w:rPr>
        <w:t xml:space="preserve">Many basidiomycota grow for most of their lives as dikaryons, until environmental signals induce them to produce fruibodies, such as a toadstool. All the hyphae that make up the toadstool are dikaryotic. At a late stage of development, some of these hyphae produce special cells termed </w:t>
      </w:r>
      <w:r w:rsidRPr="00EF3ED4">
        <w:rPr>
          <w:rStyle w:val="a4"/>
          <w:rFonts w:asciiTheme="majorBidi" w:hAnsiTheme="majorBidi" w:cstheme="majorBidi"/>
          <w:sz w:val="28"/>
          <w:szCs w:val="28"/>
        </w:rPr>
        <w:t>basidia</w:t>
      </w:r>
      <w:r w:rsidRPr="00EF3ED4">
        <w:rPr>
          <w:rFonts w:asciiTheme="majorBidi" w:hAnsiTheme="majorBidi" w:cstheme="majorBidi"/>
          <w:sz w:val="28"/>
          <w:szCs w:val="28"/>
        </w:rPr>
        <w:t xml:space="preserve"> (singular, basidium). For example, the cells that line the gills of the common mushroom are basidia. Finally, the two haploid nuclei in each basidium fuse - a process termed </w:t>
      </w:r>
      <w:r w:rsidRPr="00EF3ED4">
        <w:rPr>
          <w:rStyle w:val="a4"/>
          <w:rFonts w:asciiTheme="majorBidi" w:hAnsiTheme="majorBidi" w:cstheme="majorBidi"/>
          <w:sz w:val="28"/>
          <w:szCs w:val="28"/>
        </w:rPr>
        <w:t>karyogamy</w:t>
      </w:r>
      <w:r w:rsidRPr="00EF3ED4">
        <w:rPr>
          <w:rFonts w:asciiTheme="majorBidi" w:hAnsiTheme="majorBidi" w:cstheme="majorBidi"/>
          <w:sz w:val="28"/>
          <w:szCs w:val="28"/>
        </w:rPr>
        <w:t xml:space="preserve">) to form a diploid nucleus. This then undergoes meiosis to produce four haploid nuclei, and these haploid nuclei migrate into the basidiospores, which develop on small stalks (termed sterigmata) from each basidium (see the </w:t>
      </w:r>
      <w:r w:rsidRPr="00EF3ED4">
        <w:rPr>
          <w:rFonts w:asciiTheme="majorBidi" w:hAnsiTheme="majorBidi" w:cstheme="majorBidi"/>
          <w:sz w:val="28"/>
          <w:szCs w:val="28"/>
        </w:rPr>
        <w:lastRenderedPageBreak/>
        <w:t>image below). The dispersal of these monokaryotic spores completes the life cycle.</w:t>
      </w:r>
    </w:p>
    <w:p w:rsidR="00EF3ED4" w:rsidRPr="00EF3ED4" w:rsidRDefault="00EF3ED4" w:rsidP="00EF3ED4">
      <w:pPr>
        <w:pStyle w:val="a5"/>
        <w:jc w:val="center"/>
        <w:rPr>
          <w:rFonts w:asciiTheme="majorBidi" w:hAnsiTheme="majorBidi" w:cstheme="majorBidi"/>
          <w:sz w:val="28"/>
          <w:szCs w:val="28"/>
        </w:rPr>
      </w:pPr>
    </w:p>
    <w:p w:rsidR="00EF3ED4" w:rsidRPr="00EF3ED4" w:rsidRDefault="00EF3ED4" w:rsidP="00EF3ED4">
      <w:pPr>
        <w:pStyle w:val="a5"/>
        <w:rPr>
          <w:rFonts w:asciiTheme="majorBidi" w:hAnsiTheme="majorBidi" w:cstheme="majorBidi"/>
          <w:sz w:val="28"/>
          <w:szCs w:val="28"/>
        </w:rPr>
      </w:pPr>
      <w:r w:rsidRPr="00EF3ED4">
        <w:rPr>
          <w:rFonts w:asciiTheme="majorBidi" w:hAnsiTheme="majorBidi" w:cstheme="majorBidi"/>
          <w:sz w:val="28"/>
          <w:szCs w:val="28"/>
        </w:rPr>
        <w:t xml:space="preserve">In many basidiomycota there is a rather elaborate mechanism for ensuring that the dikaryotic condition is maintained during growth of the hyphae. As shown in the diagram below, the two nuclei in each tip cell divide at the same time, but one divides along the axis of the hypha, and the other divides so that a daughter nucleus enters a small, backwards-projecting branch. Then a septum forms to separate the original apical cell into two cells, and the branch fuses with the sub-terminal cell so that the nucleus in the branch migrates into this cell. The small branches at each septum are termed </w:t>
      </w:r>
      <w:r w:rsidRPr="00EF3ED4">
        <w:rPr>
          <w:rStyle w:val="a4"/>
          <w:rFonts w:asciiTheme="majorBidi" w:hAnsiTheme="majorBidi" w:cstheme="majorBidi"/>
          <w:sz w:val="28"/>
          <w:szCs w:val="28"/>
        </w:rPr>
        <w:t>clamp connections</w:t>
      </w:r>
      <w:r w:rsidRPr="00EF3ED4">
        <w:rPr>
          <w:rFonts w:asciiTheme="majorBidi" w:hAnsiTheme="majorBidi" w:cstheme="majorBidi"/>
          <w:sz w:val="28"/>
          <w:szCs w:val="28"/>
        </w:rPr>
        <w:t xml:space="preserve">. They can be seen at high magnification of a normal compound microscope (see the image below the diagram). </w:t>
      </w:r>
    </w:p>
    <w:p w:rsidR="00EF3ED4" w:rsidRPr="00EF3ED4" w:rsidRDefault="00EF3ED4" w:rsidP="00EF3ED4">
      <w:pPr>
        <w:pStyle w:val="a5"/>
        <w:jc w:val="center"/>
        <w:rPr>
          <w:rFonts w:asciiTheme="majorBidi" w:hAnsiTheme="majorBidi" w:cstheme="majorBidi"/>
          <w:sz w:val="28"/>
          <w:szCs w:val="28"/>
        </w:rPr>
      </w:pPr>
      <w:r w:rsidRPr="00EF3ED4">
        <w:rPr>
          <w:rFonts w:asciiTheme="majorBidi" w:hAnsiTheme="majorBidi" w:cstheme="majorBidi"/>
          <w:noProof/>
          <w:sz w:val="28"/>
          <w:szCs w:val="28"/>
        </w:rPr>
        <w:drawing>
          <wp:inline distT="0" distB="0" distL="0" distR="0">
            <wp:extent cx="5219700" cy="2571750"/>
            <wp:effectExtent l="19050" t="0" r="0" b="0"/>
            <wp:docPr id="29" name="صورة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srcRect/>
                    <a:stretch>
                      <a:fillRect/>
                    </a:stretch>
                  </pic:blipFill>
                  <pic:spPr bwMode="auto">
                    <a:xfrm>
                      <a:off x="0" y="0"/>
                      <a:ext cx="5219700" cy="2571750"/>
                    </a:xfrm>
                    <a:prstGeom prst="rect">
                      <a:avLst/>
                    </a:prstGeom>
                    <a:noFill/>
                    <a:ln w="9525">
                      <a:noFill/>
                      <a:miter lim="800000"/>
                      <a:headEnd/>
                      <a:tailEnd/>
                    </a:ln>
                  </pic:spPr>
                </pic:pic>
              </a:graphicData>
            </a:graphic>
          </wp:inline>
        </w:drawing>
      </w:r>
      <w:r w:rsidRPr="00EF3ED4">
        <w:rPr>
          <w:rFonts w:asciiTheme="majorBidi" w:hAnsiTheme="majorBidi" w:cstheme="majorBidi"/>
          <w:sz w:val="28"/>
          <w:szCs w:val="28"/>
        </w:rPr>
        <w:br/>
      </w:r>
    </w:p>
    <w:p w:rsidR="00EF3ED4" w:rsidRPr="00EF3ED4" w:rsidRDefault="00EF3ED4" w:rsidP="00EF3ED4">
      <w:pPr>
        <w:pStyle w:val="a5"/>
        <w:jc w:val="center"/>
        <w:rPr>
          <w:rFonts w:asciiTheme="majorBidi" w:hAnsiTheme="majorBidi" w:cstheme="majorBidi"/>
          <w:sz w:val="28"/>
          <w:szCs w:val="28"/>
        </w:rPr>
      </w:pPr>
      <w:r w:rsidRPr="00EF3ED4">
        <w:rPr>
          <w:rFonts w:asciiTheme="majorBidi" w:hAnsiTheme="majorBidi" w:cstheme="majorBidi"/>
          <w:sz w:val="28"/>
          <w:szCs w:val="28"/>
        </w:rPr>
        <w:t xml:space="preserve">Diagram to show the role of clamp connections in maintaining a dikaryon </w:t>
      </w:r>
    </w:p>
    <w:p w:rsidR="00EF3ED4" w:rsidRPr="00EF3ED4" w:rsidRDefault="00EF3ED4" w:rsidP="00EF3ED4">
      <w:pPr>
        <w:jc w:val="right"/>
        <w:rPr>
          <w:rFonts w:asciiTheme="majorBidi" w:hAnsiTheme="majorBidi" w:cstheme="majorBidi"/>
          <w:sz w:val="28"/>
          <w:szCs w:val="28"/>
        </w:rPr>
      </w:pPr>
      <w:r w:rsidRPr="00EF3ED4">
        <w:rPr>
          <w:rFonts w:asciiTheme="majorBidi" w:hAnsiTheme="majorBidi" w:cstheme="majorBidi"/>
          <w:sz w:val="28"/>
          <w:szCs w:val="28"/>
        </w:rPr>
        <w:br/>
      </w:r>
    </w:p>
    <w:p w:rsidR="00EF3ED4" w:rsidRPr="00EF3ED4" w:rsidRDefault="00EF3ED4" w:rsidP="00EF3ED4">
      <w:pPr>
        <w:jc w:val="right"/>
        <w:rPr>
          <w:rFonts w:asciiTheme="majorBidi" w:hAnsiTheme="majorBidi" w:cstheme="majorBidi"/>
          <w:sz w:val="28"/>
          <w:szCs w:val="28"/>
        </w:rPr>
      </w:pPr>
    </w:p>
    <w:p w:rsidR="00EF3ED4" w:rsidRPr="00EF3ED4" w:rsidRDefault="00EF3ED4" w:rsidP="00EF3ED4">
      <w:pPr>
        <w:jc w:val="right"/>
        <w:rPr>
          <w:rFonts w:asciiTheme="majorBidi" w:hAnsiTheme="majorBidi" w:cstheme="majorBidi"/>
          <w:sz w:val="28"/>
          <w:szCs w:val="28"/>
        </w:rPr>
      </w:pPr>
    </w:p>
    <w:p w:rsidR="00EF3ED4" w:rsidRPr="00EF3ED4" w:rsidRDefault="00EF3ED4" w:rsidP="00EF3ED4">
      <w:pPr>
        <w:jc w:val="right"/>
        <w:rPr>
          <w:rFonts w:asciiTheme="majorBidi" w:hAnsiTheme="majorBidi" w:cstheme="majorBidi"/>
          <w:sz w:val="28"/>
          <w:szCs w:val="28"/>
        </w:rPr>
      </w:pPr>
    </w:p>
    <w:p w:rsidR="00EF3ED4" w:rsidRPr="00EF3ED4" w:rsidRDefault="00EF3ED4" w:rsidP="00EF3ED4">
      <w:pPr>
        <w:jc w:val="right"/>
        <w:rPr>
          <w:rFonts w:asciiTheme="majorBidi" w:hAnsiTheme="majorBidi" w:cstheme="majorBidi"/>
          <w:sz w:val="28"/>
          <w:szCs w:val="28"/>
        </w:rPr>
      </w:pPr>
    </w:p>
    <w:p w:rsidR="00EF3ED4" w:rsidRPr="00EF3ED4" w:rsidRDefault="00EF3ED4" w:rsidP="00EF3ED4">
      <w:pPr>
        <w:jc w:val="right"/>
        <w:rPr>
          <w:rFonts w:asciiTheme="majorBidi" w:hAnsiTheme="majorBidi" w:cstheme="majorBidi"/>
          <w:sz w:val="28"/>
          <w:szCs w:val="28"/>
        </w:rPr>
      </w:pPr>
      <w:r>
        <w:rPr>
          <w:rFonts w:asciiTheme="majorBidi" w:hAnsiTheme="majorBidi" w:cstheme="majorBidi"/>
          <w:noProof/>
          <w:sz w:val="28"/>
          <w:szCs w:val="28"/>
        </w:rPr>
        <w:lastRenderedPageBreak/>
        <w:drawing>
          <wp:anchor distT="0" distB="0" distL="114300" distR="114300" simplePos="0" relativeHeight="251672576" behindDoc="0" locked="0" layoutInCell="1" allowOverlap="1">
            <wp:simplePos x="0" y="0"/>
            <wp:positionH relativeFrom="column">
              <wp:posOffset>514350</wp:posOffset>
            </wp:positionH>
            <wp:positionV relativeFrom="paragraph">
              <wp:posOffset>0</wp:posOffset>
            </wp:positionV>
            <wp:extent cx="3314700" cy="2647950"/>
            <wp:effectExtent l="19050" t="0" r="0" b="0"/>
            <wp:wrapSquare wrapText="bothSides"/>
            <wp:docPr id="16" name="صورة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srcRect/>
                    <a:stretch>
                      <a:fillRect/>
                    </a:stretch>
                  </pic:blipFill>
                  <pic:spPr bwMode="auto">
                    <a:xfrm>
                      <a:off x="0" y="0"/>
                      <a:ext cx="3314700" cy="2647950"/>
                    </a:xfrm>
                    <a:prstGeom prst="rect">
                      <a:avLst/>
                    </a:prstGeom>
                    <a:noFill/>
                    <a:ln w="9525">
                      <a:noFill/>
                      <a:miter lim="800000"/>
                      <a:headEnd/>
                      <a:tailEnd/>
                    </a:ln>
                  </pic:spPr>
                </pic:pic>
              </a:graphicData>
            </a:graphic>
          </wp:anchor>
        </w:drawing>
      </w:r>
    </w:p>
    <w:p w:rsidR="00EF3ED4" w:rsidRDefault="00EF3ED4" w:rsidP="00EF3ED4">
      <w:pPr>
        <w:jc w:val="right"/>
        <w:rPr>
          <w:rFonts w:asciiTheme="majorBidi" w:hAnsiTheme="majorBidi" w:cstheme="majorBidi"/>
          <w:sz w:val="28"/>
          <w:szCs w:val="28"/>
        </w:rPr>
      </w:pPr>
      <w:r w:rsidRPr="00EF3ED4">
        <w:rPr>
          <w:rFonts w:asciiTheme="majorBidi" w:hAnsiTheme="majorBidi" w:cstheme="majorBidi"/>
          <w:sz w:val="28"/>
          <w:szCs w:val="28"/>
        </w:rPr>
        <w:t xml:space="preserve">            </w:t>
      </w:r>
    </w:p>
    <w:p w:rsidR="00EF3ED4" w:rsidRDefault="00EF3ED4" w:rsidP="00EF3ED4">
      <w:pPr>
        <w:jc w:val="right"/>
        <w:rPr>
          <w:rFonts w:asciiTheme="majorBidi" w:hAnsiTheme="majorBidi" w:cstheme="majorBidi"/>
          <w:sz w:val="28"/>
          <w:szCs w:val="28"/>
        </w:rPr>
      </w:pPr>
    </w:p>
    <w:p w:rsidR="00EF3ED4" w:rsidRDefault="00EF3ED4" w:rsidP="00EF3ED4">
      <w:pPr>
        <w:jc w:val="right"/>
        <w:rPr>
          <w:rFonts w:asciiTheme="majorBidi" w:hAnsiTheme="majorBidi" w:cstheme="majorBidi"/>
          <w:sz w:val="28"/>
          <w:szCs w:val="28"/>
        </w:rPr>
      </w:pPr>
    </w:p>
    <w:p w:rsidR="00EF3ED4" w:rsidRDefault="00EF3ED4" w:rsidP="00EF3ED4">
      <w:pPr>
        <w:jc w:val="right"/>
        <w:rPr>
          <w:rFonts w:asciiTheme="majorBidi" w:hAnsiTheme="majorBidi" w:cstheme="majorBidi"/>
          <w:sz w:val="28"/>
          <w:szCs w:val="28"/>
        </w:rPr>
      </w:pPr>
    </w:p>
    <w:p w:rsidR="00EF3ED4" w:rsidRDefault="00EF3ED4" w:rsidP="00EF3ED4">
      <w:pPr>
        <w:jc w:val="right"/>
        <w:rPr>
          <w:rFonts w:asciiTheme="majorBidi" w:hAnsiTheme="majorBidi" w:cstheme="majorBidi"/>
          <w:sz w:val="28"/>
          <w:szCs w:val="28"/>
        </w:rPr>
      </w:pPr>
    </w:p>
    <w:p w:rsidR="00EF3ED4" w:rsidRDefault="00EF3ED4" w:rsidP="00EF3ED4">
      <w:pPr>
        <w:jc w:val="right"/>
        <w:rPr>
          <w:rFonts w:asciiTheme="majorBidi" w:hAnsiTheme="majorBidi" w:cstheme="majorBidi"/>
          <w:sz w:val="28"/>
          <w:szCs w:val="28"/>
        </w:rPr>
      </w:pPr>
    </w:p>
    <w:p w:rsidR="00EF3ED4" w:rsidRDefault="00EF3ED4" w:rsidP="00EF3ED4">
      <w:pPr>
        <w:jc w:val="right"/>
        <w:rPr>
          <w:rFonts w:asciiTheme="majorBidi" w:hAnsiTheme="majorBidi" w:cstheme="majorBidi"/>
          <w:sz w:val="28"/>
          <w:szCs w:val="28"/>
        </w:rPr>
      </w:pPr>
    </w:p>
    <w:p w:rsidR="00EF3ED4" w:rsidRDefault="00EF3ED4" w:rsidP="00EF3ED4">
      <w:pPr>
        <w:jc w:val="right"/>
        <w:rPr>
          <w:rFonts w:asciiTheme="majorBidi" w:hAnsiTheme="majorBidi" w:cstheme="majorBidi"/>
          <w:sz w:val="28"/>
          <w:szCs w:val="28"/>
          <w:rtl/>
          <w:lang w:bidi="ar-IQ"/>
        </w:rPr>
      </w:pPr>
      <w:r w:rsidRPr="00EF3ED4">
        <w:rPr>
          <w:rFonts w:asciiTheme="majorBidi" w:hAnsiTheme="majorBidi" w:cstheme="majorBidi"/>
          <w:sz w:val="28"/>
          <w:szCs w:val="28"/>
        </w:rPr>
        <w:t>Clamp</w:t>
      </w:r>
      <w:r>
        <w:rPr>
          <w:rFonts w:asciiTheme="majorBidi" w:hAnsiTheme="majorBidi" w:cstheme="majorBidi"/>
          <w:sz w:val="28"/>
          <w:szCs w:val="28"/>
        </w:rPr>
        <w:t xml:space="preserve"> </w:t>
      </w:r>
      <w:r w:rsidRPr="00EF3ED4">
        <w:rPr>
          <w:rFonts w:asciiTheme="majorBidi" w:hAnsiTheme="majorBidi" w:cstheme="majorBidi"/>
          <w:sz w:val="28"/>
          <w:szCs w:val="28"/>
        </w:rPr>
        <w:t>connections at the septa of a basidiomycota hypha</w:t>
      </w:r>
    </w:p>
    <w:p w:rsidR="00EF3ED4" w:rsidRDefault="00EF3ED4" w:rsidP="00EF3ED4">
      <w:pPr>
        <w:jc w:val="right"/>
        <w:rPr>
          <w:rFonts w:asciiTheme="majorBidi" w:hAnsiTheme="majorBidi" w:cstheme="majorBidi"/>
          <w:sz w:val="28"/>
          <w:szCs w:val="28"/>
          <w:rtl/>
          <w:lang w:bidi="ar-IQ"/>
        </w:rPr>
      </w:pPr>
    </w:p>
    <w:p w:rsidR="00EF3ED4" w:rsidRDefault="00EF3ED4" w:rsidP="00EF3ED4">
      <w:pPr>
        <w:bidi w:val="0"/>
        <w:rPr>
          <w:rFonts w:asciiTheme="majorBidi" w:hAnsiTheme="majorBidi" w:cstheme="majorBidi"/>
          <w:sz w:val="28"/>
          <w:szCs w:val="28"/>
        </w:rPr>
      </w:pPr>
      <w:r>
        <w:rPr>
          <w:rFonts w:asciiTheme="majorBidi" w:hAnsiTheme="majorBidi" w:cstheme="majorBidi"/>
          <w:b/>
          <w:bCs/>
          <w:color w:val="FF0000"/>
          <w:sz w:val="32"/>
          <w:szCs w:val="32"/>
        </w:rPr>
        <w:t>The basidiomycetes</w:t>
      </w:r>
      <w:r>
        <w:rPr>
          <w:rFonts w:asciiTheme="majorBidi" w:hAnsiTheme="majorBidi" w:cstheme="majorBidi"/>
          <w:b/>
          <w:bCs/>
          <w:sz w:val="32"/>
          <w:szCs w:val="32"/>
        </w:rPr>
        <w:t xml:space="preserve"> </w:t>
      </w:r>
      <w:r>
        <w:rPr>
          <w:rFonts w:asciiTheme="majorBidi" w:hAnsiTheme="majorBidi" w:cstheme="majorBidi"/>
          <w:b/>
          <w:bCs/>
          <w:sz w:val="32"/>
          <w:szCs w:val="32"/>
        </w:rPr>
        <w:br/>
      </w:r>
      <w:r>
        <w:rPr>
          <w:rFonts w:asciiTheme="majorBidi" w:hAnsiTheme="majorBidi" w:cstheme="majorBidi"/>
          <w:sz w:val="28"/>
          <w:szCs w:val="28"/>
        </w:rPr>
        <w:t xml:space="preserve">Mycelium/ hyphae </w:t>
      </w:r>
      <w:r>
        <w:rPr>
          <w:rFonts w:asciiTheme="majorBidi" w:hAnsiTheme="majorBidi" w:cstheme="majorBidi"/>
          <w:sz w:val="28"/>
          <w:szCs w:val="28"/>
        </w:rPr>
        <w:br/>
        <w:t xml:space="preserve">• generally produce an extensive mycelium, the largest organisms in the world are basidiomycetes </w:t>
      </w:r>
      <w:r>
        <w:rPr>
          <w:rFonts w:asciiTheme="majorBidi" w:hAnsiTheme="majorBidi" w:cstheme="majorBidi"/>
          <w:sz w:val="28"/>
          <w:szCs w:val="28"/>
        </w:rPr>
        <w:br/>
        <w:t xml:space="preserve">• the phylum contains some yeast-like forms </w:t>
      </w:r>
      <w:r>
        <w:rPr>
          <w:rFonts w:asciiTheme="majorBidi" w:hAnsiTheme="majorBidi" w:cstheme="majorBidi"/>
          <w:sz w:val="28"/>
          <w:szCs w:val="28"/>
        </w:rPr>
        <w:br/>
        <w:t xml:space="preserve">• hyphae are regularly septate with one to two nuclei per cell in vegetative hyphae </w:t>
      </w:r>
      <w:r>
        <w:rPr>
          <w:rFonts w:asciiTheme="majorBidi" w:hAnsiTheme="majorBidi" w:cstheme="majorBidi"/>
          <w:sz w:val="28"/>
          <w:szCs w:val="28"/>
        </w:rPr>
        <w:br/>
        <w:t xml:space="preserve">• vegetative hyphae occur as monokaryon or dikaryon (dikaryotic mycelia often extensive) </w:t>
      </w:r>
      <w:r>
        <w:rPr>
          <w:rFonts w:asciiTheme="majorBidi" w:hAnsiTheme="majorBidi" w:cstheme="majorBidi"/>
          <w:sz w:val="28"/>
          <w:szCs w:val="28"/>
        </w:rPr>
        <w:br/>
        <w:t>• cell walls composed primarily of chitin</w:t>
      </w:r>
    </w:p>
    <w:p w:rsidR="00EF3ED4" w:rsidRDefault="00EF3ED4" w:rsidP="00EF3ED4">
      <w:pPr>
        <w:bidi w:val="0"/>
        <w:jc w:val="center"/>
        <w:rPr>
          <w:rFonts w:asciiTheme="majorBidi" w:hAnsiTheme="majorBidi" w:cstheme="majorBidi"/>
          <w:sz w:val="28"/>
          <w:szCs w:val="28"/>
        </w:rPr>
      </w:pPr>
      <w:r>
        <w:rPr>
          <w:rFonts w:asciiTheme="majorBidi" w:hAnsiTheme="majorBidi" w:cstheme="majorBidi"/>
          <w:sz w:val="28"/>
          <w:szCs w:val="28"/>
        </w:rPr>
        <w:br/>
      </w:r>
      <w:r>
        <w:rPr>
          <w:rFonts w:asciiTheme="majorBidi" w:hAnsiTheme="majorBidi" w:cstheme="majorBidi"/>
          <w:b/>
          <w:bCs/>
          <w:color w:val="FF0000"/>
          <w:sz w:val="32"/>
          <w:szCs w:val="32"/>
        </w:rPr>
        <w:t>Three classes</w:t>
      </w:r>
      <w:r>
        <w:rPr>
          <w:rFonts w:asciiTheme="majorBidi" w:hAnsiTheme="majorBidi" w:cstheme="majorBidi"/>
          <w:sz w:val="32"/>
          <w:szCs w:val="32"/>
        </w:rPr>
        <w:t xml:space="preserve"> </w:t>
      </w:r>
      <w:r>
        <w:rPr>
          <w:rFonts w:asciiTheme="majorBidi" w:hAnsiTheme="majorBidi" w:cstheme="majorBidi"/>
          <w:sz w:val="32"/>
          <w:szCs w:val="32"/>
        </w:rPr>
        <w:br/>
      </w:r>
      <w:r>
        <w:rPr>
          <w:rFonts w:asciiTheme="majorBidi" w:hAnsiTheme="majorBidi" w:cstheme="majorBidi"/>
          <w:sz w:val="28"/>
          <w:szCs w:val="28"/>
        </w:rPr>
        <w:t xml:space="preserve">• </w:t>
      </w:r>
      <w:r w:rsidRPr="00EF3ED4">
        <w:rPr>
          <w:rFonts w:asciiTheme="majorBidi" w:hAnsiTheme="majorBidi" w:cstheme="majorBidi"/>
          <w:sz w:val="24"/>
          <w:szCs w:val="24"/>
        </w:rPr>
        <w:t xml:space="preserve">class Basidiomycetes includes mushrooms, tooth fungi and shelf fungi </w:t>
      </w:r>
      <w:r w:rsidRPr="00EF3ED4">
        <w:rPr>
          <w:rFonts w:asciiTheme="majorBidi" w:hAnsiTheme="majorBidi" w:cstheme="majorBidi"/>
          <w:sz w:val="24"/>
          <w:szCs w:val="24"/>
        </w:rPr>
        <w:br/>
        <w:t xml:space="preserve">• class Teliomycetes includes species of obligate plant parasitic fungi commonly known as the ‘rusts’ </w:t>
      </w:r>
      <w:r w:rsidRPr="00EF3ED4">
        <w:rPr>
          <w:rFonts w:asciiTheme="majorBidi" w:hAnsiTheme="majorBidi" w:cstheme="majorBidi"/>
          <w:sz w:val="24"/>
          <w:szCs w:val="24"/>
        </w:rPr>
        <w:br/>
        <w:t>• class Ustomycetes includes parasites of flowering plants commonly</w:t>
      </w:r>
      <w:r>
        <w:rPr>
          <w:rFonts w:asciiTheme="majorBidi" w:hAnsiTheme="majorBidi" w:cstheme="majorBidi"/>
          <w:sz w:val="28"/>
          <w:szCs w:val="28"/>
        </w:rPr>
        <w:t xml:space="preserve"> </w:t>
      </w:r>
      <w:r w:rsidRPr="00EF3ED4">
        <w:rPr>
          <w:rFonts w:asciiTheme="majorBidi" w:hAnsiTheme="majorBidi" w:cstheme="majorBidi"/>
          <w:sz w:val="24"/>
          <w:szCs w:val="24"/>
        </w:rPr>
        <w:t>known as the</w:t>
      </w:r>
      <w:r>
        <w:rPr>
          <w:rFonts w:asciiTheme="majorBidi" w:hAnsiTheme="majorBidi" w:cstheme="majorBidi"/>
          <w:sz w:val="28"/>
          <w:szCs w:val="28"/>
        </w:rPr>
        <w:t xml:space="preserve"> ‘smuts’ </w:t>
      </w:r>
      <w:r>
        <w:rPr>
          <w:rFonts w:asciiTheme="majorBidi" w:hAnsiTheme="majorBidi" w:cstheme="majorBidi"/>
          <w:sz w:val="28"/>
          <w:szCs w:val="28"/>
        </w:rPr>
        <w:br/>
      </w:r>
    </w:p>
    <w:p w:rsidR="00EF3ED4" w:rsidRDefault="00EF3ED4" w:rsidP="00EF3ED4">
      <w:pPr>
        <w:bidi w:val="0"/>
        <w:rPr>
          <w:rFonts w:asciiTheme="majorBidi" w:hAnsiTheme="majorBidi" w:cstheme="majorBidi"/>
          <w:sz w:val="28"/>
          <w:szCs w:val="28"/>
        </w:rPr>
      </w:pPr>
      <w:r>
        <w:rPr>
          <w:rFonts w:asciiTheme="majorBidi" w:hAnsiTheme="majorBidi" w:cstheme="majorBidi"/>
          <w:b/>
          <w:bCs/>
          <w:sz w:val="28"/>
          <w:szCs w:val="28"/>
        </w:rPr>
        <w:t>What they have in common</w:t>
      </w:r>
      <w:r>
        <w:rPr>
          <w:rFonts w:asciiTheme="majorBidi" w:hAnsiTheme="majorBidi" w:cstheme="majorBidi"/>
          <w:sz w:val="28"/>
          <w:szCs w:val="28"/>
        </w:rPr>
        <w:t xml:space="preserve"> </w:t>
      </w:r>
      <w:r>
        <w:rPr>
          <w:rFonts w:asciiTheme="majorBidi" w:hAnsiTheme="majorBidi" w:cstheme="majorBidi"/>
          <w:sz w:val="28"/>
          <w:szCs w:val="28"/>
        </w:rPr>
        <w:br/>
        <w:t xml:space="preserve">• most form an extensive dikaryon </w:t>
      </w:r>
      <w:r>
        <w:rPr>
          <w:rFonts w:asciiTheme="majorBidi" w:hAnsiTheme="majorBidi" w:cstheme="majorBidi"/>
          <w:sz w:val="28"/>
          <w:szCs w:val="28"/>
        </w:rPr>
        <w:br/>
        <w:t>• many form clamp connections</w:t>
      </w:r>
    </w:p>
    <w:p w:rsidR="00EF3ED4" w:rsidRDefault="00EF3ED4" w:rsidP="00EF3ED4">
      <w:pPr>
        <w:bidi w:val="0"/>
        <w:rPr>
          <w:rFonts w:asciiTheme="majorBidi" w:hAnsiTheme="majorBidi" w:cstheme="majorBidi"/>
          <w:sz w:val="28"/>
          <w:szCs w:val="28"/>
        </w:rPr>
      </w:pPr>
    </w:p>
    <w:p w:rsidR="00EF3ED4" w:rsidRDefault="00EF3ED4" w:rsidP="00EF3ED4">
      <w:pPr>
        <w:bidi w:val="0"/>
        <w:jc w:val="center"/>
        <w:rPr>
          <w:rFonts w:asciiTheme="majorBidi" w:hAnsiTheme="majorBidi" w:cstheme="majorBidi"/>
          <w:sz w:val="28"/>
          <w:szCs w:val="28"/>
        </w:rPr>
      </w:pPr>
      <w:r>
        <w:rPr>
          <w:rFonts w:asciiTheme="majorBidi" w:hAnsiTheme="majorBidi" w:cstheme="majorBidi"/>
          <w:noProof/>
          <w:sz w:val="28"/>
          <w:szCs w:val="28"/>
        </w:rPr>
        <w:drawing>
          <wp:inline distT="0" distB="0" distL="0" distR="0">
            <wp:extent cx="1600200" cy="1809750"/>
            <wp:effectExtent l="19050" t="0" r="0" b="0"/>
            <wp:docPr id="18" name="صورة 2" descr="C:\Users\Abo_Ahhassan\Documents\iS ckkct _files_1\pic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bo_Ahhassan\Documents\iS ckkct _files_1\pict1.jpg"/>
                    <pic:cNvPicPr>
                      <a:picLocks noChangeAspect="1" noChangeArrowheads="1"/>
                    </pic:cNvPicPr>
                  </pic:nvPicPr>
                  <pic:blipFill>
                    <a:blip r:embed="rId12" r:link="rId13"/>
                    <a:srcRect/>
                    <a:stretch>
                      <a:fillRect/>
                    </a:stretch>
                  </pic:blipFill>
                  <pic:spPr bwMode="auto">
                    <a:xfrm>
                      <a:off x="0" y="0"/>
                      <a:ext cx="1600200" cy="1809750"/>
                    </a:xfrm>
                    <a:prstGeom prst="rect">
                      <a:avLst/>
                    </a:prstGeom>
                    <a:noFill/>
                    <a:ln w="9525">
                      <a:noFill/>
                      <a:miter lim="800000"/>
                      <a:headEnd/>
                      <a:tailEnd/>
                    </a:ln>
                  </pic:spPr>
                </pic:pic>
              </a:graphicData>
            </a:graphic>
          </wp:inline>
        </w:drawing>
      </w:r>
    </w:p>
    <w:p w:rsidR="00EF3ED4" w:rsidRDefault="00EF3ED4" w:rsidP="00EF3ED4">
      <w:pPr>
        <w:bidi w:val="0"/>
        <w:rPr>
          <w:rFonts w:asciiTheme="majorBidi" w:hAnsiTheme="majorBidi" w:cstheme="majorBidi"/>
          <w:b/>
          <w:bCs/>
          <w:sz w:val="28"/>
          <w:szCs w:val="28"/>
        </w:rPr>
      </w:pPr>
      <w:r>
        <w:rPr>
          <w:rFonts w:asciiTheme="majorBidi" w:hAnsiTheme="majorBidi" w:cstheme="majorBidi"/>
          <w:b/>
          <w:bCs/>
          <w:sz w:val="28"/>
          <w:szCs w:val="28"/>
        </w:rPr>
        <w:t>What they have in common</w:t>
      </w:r>
    </w:p>
    <w:p w:rsidR="00EF3ED4" w:rsidRDefault="00EF3ED4" w:rsidP="00EF3ED4">
      <w:pPr>
        <w:bidi w:val="0"/>
        <w:rPr>
          <w:rFonts w:asciiTheme="majorBidi" w:hAnsiTheme="majorBidi" w:cstheme="majorBidi"/>
          <w:sz w:val="28"/>
          <w:szCs w:val="28"/>
        </w:rPr>
      </w:pPr>
      <w:r>
        <w:rPr>
          <w:rFonts w:asciiTheme="majorBidi" w:hAnsiTheme="majorBidi" w:cstheme="majorBidi"/>
          <w:sz w:val="28"/>
          <w:szCs w:val="28"/>
        </w:rPr>
        <w:t xml:space="preserve">• all with meiotic spores (basidiospores) produced on basidia </w:t>
      </w:r>
      <w:r>
        <w:rPr>
          <w:rFonts w:asciiTheme="majorBidi" w:hAnsiTheme="majorBidi" w:cstheme="majorBidi"/>
          <w:sz w:val="28"/>
          <w:szCs w:val="28"/>
        </w:rPr>
        <w:br/>
        <w:t xml:space="preserve">• the major groups differ slightly in the morphology of their basidia </w:t>
      </w:r>
    </w:p>
    <w:p w:rsidR="00EF3ED4" w:rsidRDefault="00EF3ED4" w:rsidP="00EF3ED4">
      <w:pPr>
        <w:bidi w:val="0"/>
        <w:spacing w:line="240" w:lineRule="auto"/>
        <w:rPr>
          <w:rFonts w:asciiTheme="majorBidi" w:hAnsiTheme="majorBidi" w:cstheme="majorBidi"/>
          <w:b/>
          <w:bCs/>
          <w:color w:val="FF0000"/>
          <w:sz w:val="32"/>
          <w:szCs w:val="32"/>
        </w:rPr>
      </w:pPr>
      <w:r>
        <w:rPr>
          <w:rFonts w:asciiTheme="majorBidi" w:hAnsiTheme="majorBidi" w:cstheme="majorBidi"/>
          <w:b/>
          <w:bCs/>
          <w:color w:val="FF0000"/>
          <w:sz w:val="32"/>
          <w:szCs w:val="32"/>
        </w:rPr>
        <w:t>A clamp connection</w:t>
      </w:r>
    </w:p>
    <w:p w:rsidR="00EF3ED4" w:rsidRDefault="00EF3ED4" w:rsidP="00EF3ED4">
      <w:pPr>
        <w:bidi w:val="0"/>
        <w:spacing w:line="240" w:lineRule="auto"/>
        <w:rPr>
          <w:rFonts w:asciiTheme="majorBidi" w:hAnsiTheme="majorBidi" w:cstheme="majorBidi"/>
          <w:sz w:val="28"/>
          <w:szCs w:val="28"/>
        </w:rPr>
      </w:pPr>
      <w:r>
        <w:rPr>
          <w:rFonts w:asciiTheme="majorBidi" w:hAnsiTheme="majorBidi" w:cstheme="majorBidi"/>
          <w:sz w:val="28"/>
          <w:szCs w:val="28"/>
        </w:rPr>
        <w:t xml:space="preserve">      Is a hyphal branch that form in association with synchronous division of the two nuclei in the apical cell of adikaryotic hypha. One of the nuclei divides in the main axis of the hyph, while the other divides into the clamp. Septa are formed across each of the mitotic spindles. The apex of the back ward growing monokaryotic clamp cell fuses with the sub apical cell, reestablishing the dikaryotic condition. All fungi that produce clamp connection are members of the Basidiomycota  produce clamp connection. clamp connection must have devdoped carly in Basidiomycota  evolution because they are found in the earliest diverging lineages.  </w:t>
      </w:r>
    </w:p>
    <w:p w:rsidR="00EF3ED4" w:rsidRDefault="00EF3ED4" w:rsidP="00EF3ED4">
      <w:pPr>
        <w:bidi w:val="0"/>
        <w:rPr>
          <w:rFonts w:asciiTheme="majorBidi" w:hAnsiTheme="majorBidi" w:cstheme="majorBidi"/>
          <w:b/>
          <w:bCs/>
          <w:color w:val="FF0000"/>
          <w:sz w:val="28"/>
          <w:szCs w:val="28"/>
        </w:rPr>
      </w:pPr>
      <w:r>
        <w:rPr>
          <w:rFonts w:asciiTheme="majorBidi" w:hAnsiTheme="majorBidi" w:cstheme="majorBidi"/>
          <w:b/>
          <w:bCs/>
          <w:color w:val="FF0000"/>
          <w:sz w:val="32"/>
          <w:szCs w:val="32"/>
        </w:rPr>
        <w:t>Dolipore Septum :</w:t>
      </w:r>
      <w:r>
        <w:rPr>
          <w:rFonts w:asciiTheme="majorBidi" w:hAnsiTheme="majorBidi" w:cstheme="majorBidi"/>
          <w:sz w:val="28"/>
          <w:szCs w:val="28"/>
        </w:rPr>
        <w:t>there is a complex wall structure to the septum and also acomplex of endoplasmic reticulum associated with the septal pore founded in basidiomycetes</w:t>
      </w:r>
      <w:r>
        <w:rPr>
          <w:rFonts w:asciiTheme="majorBidi" w:hAnsiTheme="majorBidi" w:cstheme="majorBidi"/>
          <w:b/>
          <w:bCs/>
          <w:color w:val="FF0000"/>
          <w:sz w:val="28"/>
          <w:szCs w:val="28"/>
        </w:rPr>
        <w:t>.</w:t>
      </w:r>
    </w:p>
    <w:p w:rsidR="00EF3ED4" w:rsidRDefault="00EF3ED4" w:rsidP="00EF3ED4">
      <w:pPr>
        <w:bidi w:val="0"/>
        <w:jc w:val="center"/>
        <w:rPr>
          <w:rFonts w:asciiTheme="majorBidi" w:hAnsiTheme="majorBidi" w:cstheme="majorBidi"/>
          <w:b/>
          <w:bCs/>
          <w:sz w:val="28"/>
          <w:szCs w:val="28"/>
        </w:rPr>
      </w:pPr>
      <w:r>
        <w:rPr>
          <w:rFonts w:asciiTheme="majorBidi" w:hAnsiTheme="majorBidi" w:cstheme="majorBidi"/>
          <w:b/>
          <w:bCs/>
          <w:noProof/>
          <w:sz w:val="28"/>
          <w:szCs w:val="28"/>
        </w:rPr>
        <w:drawing>
          <wp:inline distT="0" distB="0" distL="0" distR="0">
            <wp:extent cx="1171575" cy="1581150"/>
            <wp:effectExtent l="19050" t="0" r="9525" b="0"/>
            <wp:docPr id="19" name="صورة 3" descr="C:\Users\Abo_Ahhassan\Documents\Classific_files_1\pic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bo_Ahhassan\Documents\Classific_files_1\pict1.jpg"/>
                    <pic:cNvPicPr>
                      <a:picLocks noChangeAspect="1" noChangeArrowheads="1"/>
                    </pic:cNvPicPr>
                  </pic:nvPicPr>
                  <pic:blipFill>
                    <a:blip r:embed="rId14" r:link="rId15"/>
                    <a:srcRect/>
                    <a:stretch>
                      <a:fillRect/>
                    </a:stretch>
                  </pic:blipFill>
                  <pic:spPr bwMode="auto">
                    <a:xfrm>
                      <a:off x="0" y="0"/>
                      <a:ext cx="1171575" cy="1581150"/>
                    </a:xfrm>
                    <a:prstGeom prst="rect">
                      <a:avLst/>
                    </a:prstGeom>
                    <a:noFill/>
                    <a:ln w="9525">
                      <a:noFill/>
                      <a:miter lim="800000"/>
                      <a:headEnd/>
                      <a:tailEnd/>
                    </a:ln>
                  </pic:spPr>
                </pic:pic>
              </a:graphicData>
            </a:graphic>
          </wp:inline>
        </w:drawing>
      </w:r>
    </w:p>
    <w:p w:rsidR="00EF3ED4" w:rsidRDefault="00EF3ED4" w:rsidP="00EF3ED4">
      <w:pPr>
        <w:bidi w:val="0"/>
        <w:rPr>
          <w:rFonts w:asciiTheme="majorBidi" w:hAnsiTheme="majorBidi" w:cstheme="majorBidi"/>
          <w:sz w:val="28"/>
          <w:szCs w:val="28"/>
        </w:rPr>
      </w:pPr>
      <w:r>
        <w:rPr>
          <w:rFonts w:asciiTheme="majorBidi" w:hAnsiTheme="majorBidi" w:cstheme="majorBidi"/>
          <w:sz w:val="28"/>
          <w:szCs w:val="28"/>
        </w:rPr>
        <w:t>Septal pore cap (parenthosome)</w:t>
      </w:r>
    </w:p>
    <w:p w:rsidR="00EF3ED4" w:rsidRDefault="00EF3ED4" w:rsidP="00EF3ED4">
      <w:pPr>
        <w:bidi w:val="0"/>
        <w:rPr>
          <w:rFonts w:asciiTheme="majorBidi" w:hAnsiTheme="majorBidi" w:cstheme="majorBidi"/>
          <w:sz w:val="28"/>
          <w:szCs w:val="28"/>
        </w:rPr>
      </w:pPr>
      <w:r>
        <w:rPr>
          <w:rFonts w:asciiTheme="majorBidi" w:hAnsiTheme="majorBidi" w:cstheme="majorBidi"/>
          <w:sz w:val="28"/>
          <w:szCs w:val="28"/>
        </w:rPr>
        <w:lastRenderedPageBreak/>
        <w:t>Central pore</w:t>
      </w:r>
    </w:p>
    <w:p w:rsidR="00EF3ED4" w:rsidRDefault="00EF3ED4" w:rsidP="00EF3ED4">
      <w:pPr>
        <w:bidi w:val="0"/>
        <w:rPr>
          <w:rFonts w:asciiTheme="majorBidi" w:hAnsiTheme="majorBidi" w:cstheme="majorBidi"/>
          <w:sz w:val="28"/>
          <w:szCs w:val="28"/>
        </w:rPr>
      </w:pPr>
      <w:r>
        <w:rPr>
          <w:rFonts w:asciiTheme="majorBidi" w:hAnsiTheme="majorBidi" w:cstheme="majorBidi"/>
          <w:sz w:val="28"/>
          <w:szCs w:val="28"/>
        </w:rPr>
        <w:t xml:space="preserve">Mycorrhizae </w:t>
      </w:r>
    </w:p>
    <w:p w:rsidR="00EF3ED4" w:rsidRDefault="00EF3ED4" w:rsidP="00EF3ED4">
      <w:pPr>
        <w:bidi w:val="0"/>
        <w:rPr>
          <w:rFonts w:asciiTheme="majorBidi" w:hAnsiTheme="majorBidi" w:cstheme="majorBidi"/>
          <w:sz w:val="28"/>
          <w:szCs w:val="28"/>
        </w:rPr>
      </w:pPr>
      <w:r>
        <w:rPr>
          <w:rFonts w:asciiTheme="majorBidi" w:hAnsiTheme="majorBidi" w:cstheme="majorBidi"/>
          <w:sz w:val="28"/>
          <w:szCs w:val="28"/>
        </w:rPr>
        <w:t xml:space="preserve">Two main types of  Mycorrhizae </w:t>
      </w:r>
    </w:p>
    <w:p w:rsidR="00EF3ED4" w:rsidRDefault="00EF3ED4" w:rsidP="00EF3ED4">
      <w:pPr>
        <w:bidi w:val="0"/>
        <w:rPr>
          <w:rFonts w:asciiTheme="majorBidi" w:hAnsiTheme="majorBidi" w:cstheme="majorBidi"/>
          <w:sz w:val="28"/>
          <w:szCs w:val="28"/>
        </w:rPr>
      </w:pPr>
      <w:r>
        <w:rPr>
          <w:rFonts w:asciiTheme="majorBidi" w:hAnsiTheme="majorBidi" w:cstheme="majorBidi"/>
          <w:sz w:val="28"/>
          <w:szCs w:val="28"/>
        </w:rPr>
        <w:t xml:space="preserve">Endomycorrhizae= the fungus produces highly branched structures (arbuscules ) that penetrate the cortical cells of the root . </w:t>
      </w:r>
    </w:p>
    <w:p w:rsidR="00EF3ED4" w:rsidRDefault="00EF3ED4" w:rsidP="00EF3ED4">
      <w:pPr>
        <w:bidi w:val="0"/>
        <w:rPr>
          <w:rFonts w:asciiTheme="majorBidi" w:hAnsiTheme="majorBidi" w:cstheme="majorBidi"/>
          <w:sz w:val="28"/>
          <w:szCs w:val="28"/>
        </w:rPr>
      </w:pPr>
      <w:r>
        <w:rPr>
          <w:rFonts w:asciiTheme="majorBidi" w:hAnsiTheme="majorBidi" w:cstheme="majorBidi"/>
          <w:sz w:val="28"/>
          <w:szCs w:val="28"/>
        </w:rPr>
        <w:t xml:space="preserve"> Ectomycorrhizae =the fungus surrounds the plant root cells (i.e.does not penetrate them )</w:t>
      </w:r>
    </w:p>
    <w:p w:rsidR="00EF3ED4" w:rsidRPr="0069418E" w:rsidRDefault="00EF3ED4" w:rsidP="00EF3ED4">
      <w:pPr>
        <w:bidi w:val="0"/>
        <w:spacing w:before="100" w:beforeAutospacing="1" w:after="100" w:afterAutospacing="1"/>
        <w:rPr>
          <w:sz w:val="28"/>
          <w:szCs w:val="28"/>
        </w:rPr>
      </w:pPr>
      <w:r w:rsidRPr="0069418E">
        <w:rPr>
          <w:rFonts w:ascii="Comic Sans MS" w:hAnsi="Comic Sans MS"/>
          <w:b/>
          <w:bCs/>
          <w:sz w:val="28"/>
          <w:szCs w:val="28"/>
        </w:rPr>
        <w:t>Basidiomycetes</w:t>
      </w:r>
      <w:r w:rsidRPr="0069418E">
        <w:rPr>
          <w:sz w:val="28"/>
          <w:szCs w:val="28"/>
        </w:rPr>
        <w:t xml:space="preserve"> </w:t>
      </w:r>
    </w:p>
    <w:p w:rsidR="00EF3ED4" w:rsidRPr="00EF3ED4" w:rsidRDefault="00EF3ED4" w:rsidP="00EF3ED4">
      <w:pPr>
        <w:bidi w:val="0"/>
        <w:spacing w:before="100" w:beforeAutospacing="1" w:after="100" w:afterAutospacing="1"/>
        <w:rPr>
          <w:rFonts w:asciiTheme="majorBidi" w:hAnsiTheme="majorBidi" w:cstheme="majorBidi"/>
          <w:sz w:val="28"/>
          <w:szCs w:val="28"/>
        </w:rPr>
      </w:pPr>
      <w:r>
        <w:rPr>
          <w:rFonts w:ascii="Comic Sans MS" w:hAnsi="Comic Sans MS"/>
          <w:sz w:val="28"/>
          <w:szCs w:val="28"/>
        </w:rPr>
        <w:t xml:space="preserve">       </w:t>
      </w:r>
      <w:r w:rsidRPr="00EF3ED4">
        <w:rPr>
          <w:rFonts w:asciiTheme="majorBidi" w:hAnsiTheme="majorBidi" w:cstheme="majorBidi"/>
          <w:sz w:val="28"/>
          <w:szCs w:val="28"/>
        </w:rPr>
        <w:t xml:space="preserve">The class Basidiomycetes includes those members that produce their basidia and basidiospores on or in a basidiocarp. The morphology of the basidium is variable. Until recently the morphology of the basidium was believed to be a key to determining relationship in the Basidiomycota. Basidial morphology was once the basis for classifying the fungi to class or subclass. However, rDNA sequencing analyst (Swann and Taylor, 1993), </w:t>
      </w:r>
      <w:r w:rsidRPr="00EF3ED4">
        <w:rPr>
          <w:rFonts w:asciiTheme="majorBidi" w:hAnsiTheme="majorBidi" w:cstheme="majorBidi"/>
          <w:b/>
          <w:bCs/>
          <w:sz w:val="28"/>
          <w:szCs w:val="28"/>
        </w:rPr>
        <w:t>septal pore</w:t>
      </w:r>
      <w:r w:rsidRPr="00EF3ED4">
        <w:rPr>
          <w:rFonts w:asciiTheme="majorBidi" w:hAnsiTheme="majorBidi" w:cstheme="majorBidi"/>
          <w:sz w:val="28"/>
          <w:szCs w:val="28"/>
        </w:rPr>
        <w:t xml:space="preserve"> morphology and cell wall biochemistry (McLaughlin et al, 1995) have determined that far too much emphasis was placed on this characteristic and all members of the Basidiomycota that produce basidiocarps are now included in a single class, the Basidiomycetes, and the morphology of the basidiocarp and basidium are characteristics that are now used to classifying fungi into the various orders of this class. </w:t>
      </w:r>
    </w:p>
    <w:p w:rsidR="00EF3ED4" w:rsidRPr="0069418E" w:rsidRDefault="00EF3ED4" w:rsidP="00EF3ED4">
      <w:pPr>
        <w:bidi w:val="0"/>
        <w:spacing w:before="100" w:beforeAutospacing="1" w:after="100" w:afterAutospacing="1"/>
        <w:rPr>
          <w:sz w:val="28"/>
          <w:szCs w:val="28"/>
        </w:rPr>
      </w:pPr>
      <w:r w:rsidRPr="0069418E">
        <w:rPr>
          <w:rFonts w:ascii="Comic Sans MS" w:hAnsi="Comic Sans MS"/>
          <w:sz w:val="28"/>
          <w:szCs w:val="28"/>
        </w:rPr>
        <w:t xml:space="preserve">Order: </w:t>
      </w:r>
      <w:r w:rsidRPr="0069418E">
        <w:rPr>
          <w:rFonts w:ascii="Comic Sans MS" w:hAnsi="Comic Sans MS"/>
          <w:b/>
          <w:bCs/>
          <w:sz w:val="28"/>
          <w:szCs w:val="28"/>
        </w:rPr>
        <w:t>Agaricales</w:t>
      </w:r>
      <w:r w:rsidRPr="0069418E">
        <w:rPr>
          <w:sz w:val="28"/>
          <w:szCs w:val="28"/>
        </w:rPr>
        <w:t xml:space="preserve"> </w:t>
      </w:r>
    </w:p>
    <w:p w:rsidR="00EF3ED4" w:rsidRPr="00EF3ED4" w:rsidRDefault="00EF3ED4" w:rsidP="00EF3ED4">
      <w:pPr>
        <w:bidi w:val="0"/>
        <w:spacing w:before="100" w:beforeAutospacing="1" w:after="100" w:afterAutospacing="1"/>
        <w:rPr>
          <w:rFonts w:asciiTheme="majorBidi" w:hAnsiTheme="majorBidi" w:cstheme="majorBidi"/>
          <w:sz w:val="24"/>
          <w:szCs w:val="24"/>
        </w:rPr>
      </w:pPr>
      <w:r>
        <w:rPr>
          <w:rFonts w:ascii="Comic Sans MS" w:hAnsi="Comic Sans MS"/>
        </w:rPr>
        <w:t xml:space="preserve">      </w:t>
      </w:r>
      <w:r w:rsidRPr="00EF3ED4">
        <w:rPr>
          <w:rFonts w:asciiTheme="majorBidi" w:hAnsiTheme="majorBidi" w:cstheme="majorBidi"/>
          <w:sz w:val="24"/>
          <w:szCs w:val="24"/>
        </w:rPr>
        <w:t xml:space="preserve">This is the order of Basidiomycetes with which most of us are familiar. This is the order that is commonly referred to as mushrooms. Basidiocarps of this order typically are "fleshy" and have a </w:t>
      </w:r>
      <w:r w:rsidRPr="00EF3ED4">
        <w:rPr>
          <w:rFonts w:asciiTheme="majorBidi" w:hAnsiTheme="majorBidi" w:cstheme="majorBidi"/>
          <w:b/>
          <w:bCs/>
          <w:sz w:val="24"/>
          <w:szCs w:val="24"/>
        </w:rPr>
        <w:t>stipe</w:t>
      </w:r>
      <w:r w:rsidRPr="00EF3ED4">
        <w:rPr>
          <w:rFonts w:asciiTheme="majorBidi" w:hAnsiTheme="majorBidi" w:cstheme="majorBidi"/>
          <w:sz w:val="24"/>
          <w:szCs w:val="24"/>
        </w:rPr>
        <w:t xml:space="preserve"> (=stalk), </w:t>
      </w:r>
      <w:r w:rsidRPr="00EF3ED4">
        <w:rPr>
          <w:rFonts w:asciiTheme="majorBidi" w:hAnsiTheme="majorBidi" w:cstheme="majorBidi"/>
          <w:b/>
          <w:bCs/>
          <w:sz w:val="24"/>
          <w:szCs w:val="24"/>
        </w:rPr>
        <w:t>pileus</w:t>
      </w:r>
      <w:r w:rsidRPr="00EF3ED4">
        <w:rPr>
          <w:rFonts w:asciiTheme="majorBidi" w:hAnsiTheme="majorBidi" w:cstheme="majorBidi"/>
          <w:sz w:val="24"/>
          <w:szCs w:val="24"/>
        </w:rPr>
        <w:t xml:space="preserve"> (=cap), and </w:t>
      </w:r>
      <w:r w:rsidRPr="00EF3ED4">
        <w:rPr>
          <w:rFonts w:asciiTheme="majorBidi" w:hAnsiTheme="majorBidi" w:cstheme="majorBidi"/>
          <w:b/>
          <w:bCs/>
          <w:sz w:val="24"/>
          <w:szCs w:val="24"/>
        </w:rPr>
        <w:t>lamellae</w:t>
      </w:r>
      <w:r w:rsidRPr="00EF3ED4">
        <w:rPr>
          <w:rFonts w:asciiTheme="majorBidi" w:hAnsiTheme="majorBidi" w:cstheme="majorBidi"/>
          <w:sz w:val="24"/>
          <w:szCs w:val="24"/>
        </w:rPr>
        <w:t xml:space="preserve"> (=gills) where the basidia and basidiospores are borne (Fig. 1-4). The Basidiospores in this order of fungi are forcibly ejected from the basidium, into the area between the lamellar edges, which then allows the spores to fall free from the mushroom and be dispersed by wind. </w:t>
      </w:r>
      <w:r w:rsidRPr="00EF3ED4">
        <w:rPr>
          <w:rFonts w:asciiTheme="majorBidi" w:hAnsiTheme="majorBidi" w:cstheme="majorBidi"/>
          <w:b/>
          <w:bCs/>
          <w:sz w:val="24"/>
          <w:szCs w:val="24"/>
        </w:rPr>
        <w:t xml:space="preserve">A demonstration of this mechanism can be observed </w:t>
      </w:r>
      <w:hyperlink r:id="rId16" w:history="1">
        <w:r w:rsidRPr="00EF3ED4">
          <w:rPr>
            <w:rFonts w:asciiTheme="majorBidi" w:hAnsiTheme="majorBidi" w:cstheme="majorBidi"/>
            <w:b/>
            <w:bCs/>
            <w:color w:val="0000FF"/>
            <w:sz w:val="24"/>
            <w:szCs w:val="24"/>
            <w:u w:val="single"/>
          </w:rPr>
          <w:t>here</w:t>
        </w:r>
      </w:hyperlink>
      <w:r w:rsidRPr="00EF3ED4">
        <w:rPr>
          <w:rFonts w:asciiTheme="majorBidi" w:hAnsiTheme="majorBidi" w:cstheme="majorBidi"/>
          <w:sz w:val="24"/>
          <w:szCs w:val="24"/>
        </w:rPr>
        <w:t xml:space="preserve">. </w:t>
      </w:r>
      <w:r w:rsidRPr="00EF3ED4">
        <w:rPr>
          <w:rFonts w:asciiTheme="majorBidi" w:hAnsiTheme="majorBidi" w:cstheme="majorBidi"/>
          <w:sz w:val="24"/>
          <w:szCs w:val="24"/>
        </w:rPr>
        <w:br/>
        <w:t xml:space="preserve">  </w:t>
      </w:r>
    </w:p>
    <w:tbl>
      <w:tblPr>
        <w:tblW w:w="5000" w:type="pct"/>
        <w:tblCellSpacing w:w="15" w:type="dxa"/>
        <w:tblCellMar>
          <w:top w:w="15" w:type="dxa"/>
          <w:left w:w="15" w:type="dxa"/>
          <w:bottom w:w="15" w:type="dxa"/>
          <w:right w:w="15" w:type="dxa"/>
        </w:tblCellMar>
        <w:tblLook w:val="0000"/>
      </w:tblPr>
      <w:tblGrid>
        <w:gridCol w:w="2206"/>
        <w:gridCol w:w="270"/>
        <w:gridCol w:w="3422"/>
        <w:gridCol w:w="2498"/>
      </w:tblGrid>
      <w:tr w:rsidR="00EF3ED4" w:rsidRPr="004768CE" w:rsidTr="004929A7">
        <w:trPr>
          <w:tblCellSpacing w:w="15" w:type="dxa"/>
        </w:trPr>
        <w:tc>
          <w:tcPr>
            <w:tcW w:w="1402" w:type="pct"/>
            <w:gridSpan w:val="2"/>
            <w:vAlign w:val="center"/>
          </w:tcPr>
          <w:p w:rsidR="00EF3ED4" w:rsidRPr="004768CE" w:rsidRDefault="00EF3ED4" w:rsidP="004929A7">
            <w:pPr>
              <w:bidi w:val="0"/>
            </w:pPr>
            <w:r>
              <w:rPr>
                <w:noProof/>
                <w:color w:val="0000FF"/>
              </w:rPr>
              <w:lastRenderedPageBreak/>
              <w:drawing>
                <wp:inline distT="0" distB="0" distL="0" distR="0">
                  <wp:extent cx="1476375" cy="847725"/>
                  <wp:effectExtent l="19050" t="0" r="9525" b="0"/>
                  <wp:docPr id="30" name="صورة 30" descr="Mushroom-t.jpg (17257 bytes)">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Mushroom-t.jpg (17257 bytes)"/>
                          <pic:cNvPicPr>
                            <a:picLocks noChangeAspect="1" noChangeArrowheads="1"/>
                          </pic:cNvPicPr>
                        </pic:nvPicPr>
                        <pic:blipFill>
                          <a:blip r:embed="rId18"/>
                          <a:srcRect/>
                          <a:stretch>
                            <a:fillRect/>
                          </a:stretch>
                        </pic:blipFill>
                        <pic:spPr bwMode="auto">
                          <a:xfrm>
                            <a:off x="0" y="0"/>
                            <a:ext cx="1476375" cy="847725"/>
                          </a:xfrm>
                          <a:prstGeom prst="rect">
                            <a:avLst/>
                          </a:prstGeom>
                          <a:noFill/>
                          <a:ln w="9525">
                            <a:noFill/>
                            <a:miter lim="800000"/>
                            <a:headEnd/>
                            <a:tailEnd/>
                          </a:ln>
                        </pic:spPr>
                      </pic:pic>
                    </a:graphicData>
                  </a:graphic>
                </wp:inline>
              </w:drawing>
            </w:r>
          </w:p>
        </w:tc>
        <w:tc>
          <w:tcPr>
            <w:tcW w:w="3544" w:type="pct"/>
            <w:gridSpan w:val="2"/>
            <w:vAlign w:val="center"/>
          </w:tcPr>
          <w:p w:rsidR="00EF3ED4" w:rsidRPr="004768CE" w:rsidRDefault="00EF3ED4" w:rsidP="004929A7">
            <w:pPr>
              <w:bidi w:val="0"/>
            </w:pPr>
            <w:r w:rsidRPr="004768CE">
              <w:rPr>
                <w:rFonts w:ascii="Comic Sans MS" w:hAnsi="Comic Sans MS"/>
              </w:rPr>
              <w:t>Figure 1: Typical mushroom of Agaricales: Stipe, annulus, lamella and pileus. Basidia and basidiospores are produced in an hymenium on the lamella surface.</w:t>
            </w:r>
          </w:p>
        </w:tc>
      </w:tr>
      <w:tr w:rsidR="00EF3ED4" w:rsidRPr="004768CE" w:rsidTr="004929A7">
        <w:trPr>
          <w:tblCellSpacing w:w="15" w:type="dxa"/>
        </w:trPr>
        <w:tc>
          <w:tcPr>
            <w:tcW w:w="1402" w:type="pct"/>
            <w:gridSpan w:val="2"/>
            <w:vAlign w:val="center"/>
          </w:tcPr>
          <w:p w:rsidR="00EF3ED4" w:rsidRPr="004768CE" w:rsidRDefault="00EF3ED4" w:rsidP="004929A7">
            <w:pPr>
              <w:bidi w:val="0"/>
            </w:pPr>
          </w:p>
        </w:tc>
        <w:tc>
          <w:tcPr>
            <w:tcW w:w="3544" w:type="pct"/>
            <w:gridSpan w:val="2"/>
            <w:vAlign w:val="center"/>
          </w:tcPr>
          <w:p w:rsidR="00EF3ED4" w:rsidRPr="004768CE" w:rsidRDefault="00EF3ED4" w:rsidP="004929A7">
            <w:pPr>
              <w:bidi w:val="0"/>
            </w:pPr>
          </w:p>
        </w:tc>
      </w:tr>
      <w:tr w:rsidR="00EF3ED4" w:rsidRPr="004768CE" w:rsidTr="004929A7">
        <w:trPr>
          <w:gridAfter w:val="1"/>
          <w:wAfter w:w="1473" w:type="pct"/>
          <w:tblCellSpacing w:w="15" w:type="dxa"/>
        </w:trPr>
        <w:tc>
          <w:tcPr>
            <w:tcW w:w="1260" w:type="pct"/>
            <w:vAlign w:val="center"/>
          </w:tcPr>
          <w:p w:rsidR="00EF3ED4" w:rsidRPr="004768CE" w:rsidRDefault="00580DE6" w:rsidP="004929A7">
            <w:pPr>
              <w:bidi w:val="0"/>
            </w:pPr>
            <w:hyperlink r:id="rId19" w:history="1">
              <w:r w:rsidR="00EF3ED4">
                <w:rPr>
                  <w:noProof/>
                </w:rPr>
                <w:drawing>
                  <wp:anchor distT="0" distB="0" distL="57150" distR="57150" simplePos="0" relativeHeight="251661312" behindDoc="0" locked="0" layoutInCell="1" allowOverlap="0">
                    <wp:simplePos x="0" y="0"/>
                    <wp:positionH relativeFrom="column">
                      <wp:align>left</wp:align>
                    </wp:positionH>
                    <wp:positionV relativeFrom="line">
                      <wp:posOffset>0</wp:posOffset>
                    </wp:positionV>
                    <wp:extent cx="1323975" cy="866775"/>
                    <wp:effectExtent l="19050" t="0" r="9525" b="0"/>
                    <wp:wrapSquare wrapText="bothSides"/>
                    <wp:docPr id="14" name="صورة 3" descr="coprin1t">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prin1t">
                              <a:hlinkClick r:id="rId19"/>
                            </pic:cNvPr>
                            <pic:cNvPicPr>
                              <a:picLocks noChangeAspect="1" noChangeArrowheads="1"/>
                            </pic:cNvPicPr>
                          </pic:nvPicPr>
                          <pic:blipFill>
                            <a:blip r:embed="rId20"/>
                            <a:srcRect/>
                            <a:stretch>
                              <a:fillRect/>
                            </a:stretch>
                          </pic:blipFill>
                          <pic:spPr bwMode="auto">
                            <a:xfrm>
                              <a:off x="0" y="0"/>
                              <a:ext cx="1323975" cy="866775"/>
                            </a:xfrm>
                            <a:prstGeom prst="rect">
                              <a:avLst/>
                            </a:prstGeom>
                            <a:noFill/>
                            <a:ln w="9525">
                              <a:noFill/>
                              <a:miter lim="800000"/>
                              <a:headEnd/>
                              <a:tailEnd/>
                            </a:ln>
                          </pic:spPr>
                        </pic:pic>
                      </a:graphicData>
                    </a:graphic>
                  </wp:anchor>
                </w:drawing>
              </w:r>
            </w:hyperlink>
          </w:p>
        </w:tc>
        <w:tc>
          <w:tcPr>
            <w:tcW w:w="2196" w:type="pct"/>
            <w:gridSpan w:val="2"/>
            <w:vAlign w:val="center"/>
          </w:tcPr>
          <w:p w:rsidR="00EF3ED4" w:rsidRPr="004768CE" w:rsidRDefault="00EF3ED4" w:rsidP="004929A7">
            <w:pPr>
              <w:bidi w:val="0"/>
            </w:pPr>
            <w:r w:rsidRPr="004768CE">
              <w:rPr>
                <w:rFonts w:ascii="Comic Sans MS" w:hAnsi="Comic Sans MS"/>
              </w:rPr>
              <w:t>Figure 2: Low magnification of a cross section through the lamella of a mushroom</w:t>
            </w:r>
          </w:p>
        </w:tc>
      </w:tr>
      <w:tr w:rsidR="00EF3ED4" w:rsidRPr="004768CE" w:rsidTr="004929A7">
        <w:trPr>
          <w:gridAfter w:val="1"/>
          <w:wAfter w:w="1473" w:type="pct"/>
          <w:tblCellSpacing w:w="15" w:type="dxa"/>
        </w:trPr>
        <w:tc>
          <w:tcPr>
            <w:tcW w:w="1260" w:type="pct"/>
            <w:vAlign w:val="center"/>
          </w:tcPr>
          <w:p w:rsidR="00EF3ED4" w:rsidRPr="004768CE" w:rsidRDefault="00580DE6" w:rsidP="004929A7">
            <w:pPr>
              <w:bidi w:val="0"/>
            </w:pPr>
            <w:hyperlink r:id="rId21" w:history="1">
              <w:r w:rsidR="00EF3ED4">
                <w:rPr>
                  <w:noProof/>
                </w:rPr>
                <w:drawing>
                  <wp:anchor distT="0" distB="0" distL="57150" distR="57150" simplePos="0" relativeHeight="251662336" behindDoc="0" locked="0" layoutInCell="1" allowOverlap="0">
                    <wp:simplePos x="0" y="0"/>
                    <wp:positionH relativeFrom="column">
                      <wp:align>left</wp:align>
                    </wp:positionH>
                    <wp:positionV relativeFrom="line">
                      <wp:posOffset>0</wp:posOffset>
                    </wp:positionV>
                    <wp:extent cx="1323975" cy="866775"/>
                    <wp:effectExtent l="19050" t="0" r="9525" b="0"/>
                    <wp:wrapSquare wrapText="bothSides"/>
                    <wp:docPr id="4" name="صورة 4" descr="coprin2t">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prin2t">
                              <a:hlinkClick r:id="rId21"/>
                            </pic:cNvPr>
                            <pic:cNvPicPr>
                              <a:picLocks noChangeAspect="1" noChangeArrowheads="1"/>
                            </pic:cNvPicPr>
                          </pic:nvPicPr>
                          <pic:blipFill>
                            <a:blip r:embed="rId22"/>
                            <a:srcRect/>
                            <a:stretch>
                              <a:fillRect/>
                            </a:stretch>
                          </pic:blipFill>
                          <pic:spPr bwMode="auto">
                            <a:xfrm>
                              <a:off x="0" y="0"/>
                              <a:ext cx="1323975" cy="866775"/>
                            </a:xfrm>
                            <a:prstGeom prst="rect">
                              <a:avLst/>
                            </a:prstGeom>
                            <a:noFill/>
                            <a:ln w="9525">
                              <a:noFill/>
                              <a:miter lim="800000"/>
                              <a:headEnd/>
                              <a:tailEnd/>
                            </a:ln>
                          </pic:spPr>
                        </pic:pic>
                      </a:graphicData>
                    </a:graphic>
                  </wp:anchor>
                </w:drawing>
              </w:r>
            </w:hyperlink>
          </w:p>
        </w:tc>
        <w:tc>
          <w:tcPr>
            <w:tcW w:w="2196" w:type="pct"/>
            <w:gridSpan w:val="2"/>
            <w:vAlign w:val="center"/>
          </w:tcPr>
          <w:p w:rsidR="00EF3ED4" w:rsidRPr="004768CE" w:rsidRDefault="00EF3ED4" w:rsidP="004929A7">
            <w:pPr>
              <w:bidi w:val="0"/>
            </w:pPr>
            <w:r w:rsidRPr="004768CE">
              <w:rPr>
                <w:rFonts w:ascii="Comic Sans MS" w:hAnsi="Comic Sans MS"/>
              </w:rPr>
              <w:t>Figure 3: Higher magnification of section through the lamella of mushroom. Basidiospores now visible on the upper and lower edge of lamella.</w:t>
            </w:r>
          </w:p>
        </w:tc>
      </w:tr>
      <w:tr w:rsidR="00EF3ED4" w:rsidRPr="004768CE" w:rsidTr="004929A7">
        <w:trPr>
          <w:gridAfter w:val="1"/>
          <w:wAfter w:w="1473" w:type="pct"/>
          <w:tblCellSpacing w:w="15" w:type="dxa"/>
        </w:trPr>
        <w:tc>
          <w:tcPr>
            <w:tcW w:w="1260" w:type="pct"/>
            <w:vAlign w:val="center"/>
          </w:tcPr>
          <w:p w:rsidR="00EF3ED4" w:rsidRPr="004768CE" w:rsidRDefault="00580DE6" w:rsidP="004929A7">
            <w:pPr>
              <w:bidi w:val="0"/>
            </w:pPr>
            <w:hyperlink r:id="rId23" w:history="1">
              <w:r w:rsidR="00EF3ED4">
                <w:rPr>
                  <w:noProof/>
                </w:rPr>
                <w:drawing>
                  <wp:anchor distT="0" distB="0" distL="57150" distR="57150" simplePos="0" relativeHeight="251663360" behindDoc="0" locked="0" layoutInCell="1" allowOverlap="0">
                    <wp:simplePos x="0" y="0"/>
                    <wp:positionH relativeFrom="column">
                      <wp:align>left</wp:align>
                    </wp:positionH>
                    <wp:positionV relativeFrom="line">
                      <wp:posOffset>0</wp:posOffset>
                    </wp:positionV>
                    <wp:extent cx="1323975" cy="866775"/>
                    <wp:effectExtent l="19050" t="0" r="9525" b="0"/>
                    <wp:wrapSquare wrapText="bothSides"/>
                    <wp:docPr id="5" name="صورة 5" descr="coprin3t">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prin3t">
                              <a:hlinkClick r:id="rId23"/>
                            </pic:cNvPr>
                            <pic:cNvPicPr>
                              <a:picLocks noChangeAspect="1" noChangeArrowheads="1"/>
                            </pic:cNvPicPr>
                          </pic:nvPicPr>
                          <pic:blipFill>
                            <a:blip r:embed="rId24"/>
                            <a:srcRect/>
                            <a:stretch>
                              <a:fillRect/>
                            </a:stretch>
                          </pic:blipFill>
                          <pic:spPr bwMode="auto">
                            <a:xfrm>
                              <a:off x="0" y="0"/>
                              <a:ext cx="1323975" cy="866775"/>
                            </a:xfrm>
                            <a:prstGeom prst="rect">
                              <a:avLst/>
                            </a:prstGeom>
                            <a:noFill/>
                            <a:ln w="9525">
                              <a:noFill/>
                              <a:miter lim="800000"/>
                              <a:headEnd/>
                              <a:tailEnd/>
                            </a:ln>
                          </pic:spPr>
                        </pic:pic>
                      </a:graphicData>
                    </a:graphic>
                  </wp:anchor>
                </w:drawing>
              </w:r>
            </w:hyperlink>
          </w:p>
        </w:tc>
        <w:tc>
          <w:tcPr>
            <w:tcW w:w="2196" w:type="pct"/>
            <w:gridSpan w:val="2"/>
            <w:vAlign w:val="center"/>
          </w:tcPr>
          <w:p w:rsidR="00EF3ED4" w:rsidRPr="004768CE" w:rsidRDefault="00EF3ED4" w:rsidP="004929A7">
            <w:pPr>
              <w:bidi w:val="0"/>
            </w:pPr>
            <w:r w:rsidRPr="004768CE">
              <w:rPr>
                <w:rFonts w:ascii="Comic Sans MS" w:hAnsi="Comic Sans MS"/>
              </w:rPr>
              <w:t>Figure 4: High magnification of basidia. Center basidium shows two basidiospores of four on sterigmata.</w:t>
            </w:r>
          </w:p>
        </w:tc>
      </w:tr>
    </w:tbl>
    <w:p w:rsidR="00EF3ED4" w:rsidRPr="004768CE" w:rsidRDefault="00EF3ED4" w:rsidP="00EF3ED4">
      <w:pPr>
        <w:bidi w:val="0"/>
        <w:spacing w:before="100" w:beforeAutospacing="1" w:after="100" w:afterAutospacing="1"/>
      </w:pPr>
      <w:r w:rsidRPr="004768CE">
        <w:rPr>
          <w:rFonts w:ascii="Comic Sans MS" w:hAnsi="Comic Sans MS"/>
        </w:rPr>
        <w:t xml:space="preserve">The </w:t>
      </w:r>
      <w:hyperlink r:id="rId25" w:history="1">
        <w:r w:rsidRPr="004768CE">
          <w:rPr>
            <w:rFonts w:ascii="Comic Sans MS" w:hAnsi="Comic Sans MS"/>
            <w:color w:val="0000FF"/>
            <w:u w:val="single"/>
          </w:rPr>
          <w:t>mushroom life cycle</w:t>
        </w:r>
      </w:hyperlink>
      <w:r w:rsidRPr="004768CE">
        <w:rPr>
          <w:rFonts w:ascii="Comic Sans MS" w:hAnsi="Comic Sans MS"/>
        </w:rPr>
        <w:t xml:space="preserve"> will be used as representative of the basidiomycete life cycle. Although clamp connections are present in the dikaryon of some species of, they are also absent in many. Clamp connections are believed to function in ensuring that each cell has a compatible pair of nuclei. </w:t>
      </w:r>
      <w:r w:rsidRPr="004768CE">
        <w:rPr>
          <w:rFonts w:ascii="Comic Sans MS" w:hAnsi="Comic Sans MS"/>
          <w:b/>
          <w:bCs/>
        </w:rPr>
        <w:t xml:space="preserve">The formation of a clamp connection is described </w:t>
      </w:r>
      <w:hyperlink r:id="rId26" w:history="1">
        <w:r w:rsidRPr="004768CE">
          <w:rPr>
            <w:rFonts w:ascii="Comic Sans MS" w:hAnsi="Comic Sans MS"/>
            <w:b/>
            <w:bCs/>
            <w:color w:val="0000FF"/>
            <w:u w:val="single"/>
          </w:rPr>
          <w:t>here</w:t>
        </w:r>
      </w:hyperlink>
      <w:r w:rsidRPr="004768CE">
        <w:rPr>
          <w:rFonts w:ascii="Comic Sans MS" w:hAnsi="Comic Sans MS"/>
        </w:rPr>
        <w:t>.</w:t>
      </w:r>
      <w:r w:rsidRPr="004768CE">
        <w:t xml:space="preserve"> </w:t>
      </w:r>
    </w:p>
    <w:p w:rsidR="00EF3ED4" w:rsidRPr="004768CE" w:rsidRDefault="00EF3ED4" w:rsidP="00EF3ED4">
      <w:pPr>
        <w:bidi w:val="0"/>
        <w:spacing w:before="100" w:beforeAutospacing="1" w:after="100" w:afterAutospacing="1"/>
      </w:pPr>
      <w:r w:rsidRPr="004768CE">
        <w:rPr>
          <w:rFonts w:ascii="Comic Sans MS" w:hAnsi="Comic Sans MS"/>
          <w:b/>
          <w:bCs/>
        </w:rPr>
        <w:t>Some examples of of Agaricales that occur in Hawai‘i</w:t>
      </w:r>
      <w:r w:rsidRPr="004768CE">
        <w:rPr>
          <w:rFonts w:ascii="Comic Sans MS" w:hAnsi="Comic Sans MS"/>
        </w:rPr>
        <w:t xml:space="preserve"> </w:t>
      </w:r>
      <w:r w:rsidRPr="004768CE">
        <w:rPr>
          <w:rFonts w:ascii="Comic Sans MS" w:hAnsi="Comic Sans MS"/>
          <w:b/>
          <w:bCs/>
        </w:rPr>
        <w:t>(Fig 5-9):</w:t>
      </w:r>
      <w:r w:rsidRPr="004768CE">
        <w:t xml:space="preserve"> </w:t>
      </w:r>
      <w:r w:rsidRPr="004768CE">
        <w:br/>
        <w:t xml:space="preserve">  </w:t>
      </w:r>
    </w:p>
    <w:tbl>
      <w:tblPr>
        <w:tblW w:w="4838" w:type="pct"/>
        <w:tblCellSpacing w:w="15" w:type="dxa"/>
        <w:tblCellMar>
          <w:top w:w="15" w:type="dxa"/>
          <w:left w:w="15" w:type="dxa"/>
          <w:bottom w:w="15" w:type="dxa"/>
          <w:right w:w="15" w:type="dxa"/>
        </w:tblCellMar>
        <w:tblLook w:val="0000"/>
      </w:tblPr>
      <w:tblGrid>
        <w:gridCol w:w="2205"/>
        <w:gridCol w:w="5919"/>
      </w:tblGrid>
      <w:tr w:rsidR="00EF3ED4" w:rsidRPr="004768CE" w:rsidTr="00EF3ED4">
        <w:trPr>
          <w:trHeight w:val="1416"/>
          <w:tblCellSpacing w:w="15" w:type="dxa"/>
        </w:trPr>
        <w:tc>
          <w:tcPr>
            <w:tcW w:w="1324" w:type="pct"/>
            <w:vAlign w:val="center"/>
          </w:tcPr>
          <w:p w:rsidR="00EF3ED4" w:rsidRPr="004768CE" w:rsidRDefault="00EF3ED4" w:rsidP="004929A7">
            <w:pPr>
              <w:bidi w:val="0"/>
            </w:pPr>
          </w:p>
        </w:tc>
        <w:tc>
          <w:tcPr>
            <w:tcW w:w="3620" w:type="pct"/>
            <w:vAlign w:val="center"/>
          </w:tcPr>
          <w:p w:rsidR="00EF3ED4" w:rsidRPr="004768CE" w:rsidRDefault="00EF3ED4" w:rsidP="004929A7">
            <w:pPr>
              <w:bidi w:val="0"/>
            </w:pPr>
            <w:r w:rsidRPr="004768CE">
              <w:rPr>
                <w:rFonts w:ascii="Comic Sans MS" w:hAnsi="Comic Sans MS"/>
              </w:rPr>
              <w:t xml:space="preserve">Figure 5: </w:t>
            </w:r>
            <w:r w:rsidRPr="004768CE">
              <w:rPr>
                <w:rFonts w:ascii="Comic Sans MS" w:hAnsi="Comic Sans MS"/>
                <w:i/>
                <w:iCs/>
              </w:rPr>
              <w:t>Amanita marmorata</w:t>
            </w:r>
            <w:r w:rsidRPr="004768CE">
              <w:rPr>
                <w:rFonts w:ascii="Comic Sans MS" w:hAnsi="Comic Sans MS"/>
              </w:rPr>
              <w:t xml:space="preserve"> ssp </w:t>
            </w:r>
            <w:r w:rsidRPr="004768CE">
              <w:rPr>
                <w:rFonts w:ascii="Comic Sans MS" w:hAnsi="Comic Sans MS"/>
                <w:i/>
                <w:iCs/>
              </w:rPr>
              <w:t>myrtacearum</w:t>
            </w:r>
            <w:r w:rsidRPr="004768CE">
              <w:rPr>
                <w:rFonts w:ascii="Comic Sans MS" w:hAnsi="Comic Sans MS"/>
              </w:rPr>
              <w:t xml:space="preserve">. Commonly associated with </w:t>
            </w:r>
            <w:r w:rsidRPr="004768CE">
              <w:rPr>
                <w:rFonts w:ascii="Comic Sans MS" w:hAnsi="Comic Sans MS"/>
                <w:i/>
                <w:iCs/>
              </w:rPr>
              <w:t>Eucalyptus</w:t>
            </w:r>
            <w:r w:rsidRPr="004768CE">
              <w:rPr>
                <w:rFonts w:ascii="Comic Sans MS" w:hAnsi="Comic Sans MS"/>
              </w:rPr>
              <w:t xml:space="preserve">, </w:t>
            </w:r>
            <w:r w:rsidRPr="004768CE">
              <w:rPr>
                <w:rFonts w:ascii="Comic Sans MS" w:hAnsi="Comic Sans MS"/>
                <w:i/>
                <w:iCs/>
              </w:rPr>
              <w:t>Melaleuca</w:t>
            </w:r>
            <w:r w:rsidRPr="004768CE">
              <w:rPr>
                <w:rFonts w:ascii="Comic Sans MS" w:hAnsi="Comic Sans MS"/>
              </w:rPr>
              <w:t xml:space="preserve"> and </w:t>
            </w:r>
            <w:r w:rsidRPr="004768CE">
              <w:rPr>
                <w:rFonts w:ascii="Comic Sans MS" w:hAnsi="Comic Sans MS"/>
                <w:i/>
                <w:iCs/>
              </w:rPr>
              <w:t>Casuarina.</w:t>
            </w:r>
          </w:p>
        </w:tc>
      </w:tr>
      <w:tr w:rsidR="00EF3ED4" w:rsidRPr="004768CE" w:rsidTr="00EF3ED4">
        <w:trPr>
          <w:trHeight w:val="1416"/>
          <w:tblCellSpacing w:w="15" w:type="dxa"/>
        </w:trPr>
        <w:tc>
          <w:tcPr>
            <w:tcW w:w="1324" w:type="pct"/>
            <w:vAlign w:val="center"/>
          </w:tcPr>
          <w:p w:rsidR="00EF3ED4" w:rsidRPr="004768CE" w:rsidRDefault="00580DE6" w:rsidP="004929A7">
            <w:pPr>
              <w:bidi w:val="0"/>
            </w:pPr>
            <w:hyperlink r:id="rId27" w:history="1">
              <w:r w:rsidR="00EF3ED4">
                <w:rPr>
                  <w:noProof/>
                </w:rPr>
                <w:drawing>
                  <wp:anchor distT="0" distB="0" distL="57150" distR="57150" simplePos="0" relativeHeight="251665408" behindDoc="0" locked="0" layoutInCell="1" allowOverlap="0">
                    <wp:simplePos x="0" y="0"/>
                    <wp:positionH relativeFrom="column">
                      <wp:align>left</wp:align>
                    </wp:positionH>
                    <wp:positionV relativeFrom="line">
                      <wp:posOffset>0</wp:posOffset>
                    </wp:positionV>
                    <wp:extent cx="1323975" cy="866775"/>
                    <wp:effectExtent l="19050" t="0" r="9525" b="0"/>
                    <wp:wrapSquare wrapText="bothSides"/>
                    <wp:docPr id="7" name="صورة 7" descr="cortint">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rtint">
                              <a:hlinkClick r:id="rId27"/>
                            </pic:cNvPr>
                            <pic:cNvPicPr>
                              <a:picLocks noChangeAspect="1" noChangeArrowheads="1"/>
                            </pic:cNvPicPr>
                          </pic:nvPicPr>
                          <pic:blipFill>
                            <a:blip r:embed="rId28"/>
                            <a:srcRect/>
                            <a:stretch>
                              <a:fillRect/>
                            </a:stretch>
                          </pic:blipFill>
                          <pic:spPr bwMode="auto">
                            <a:xfrm>
                              <a:off x="0" y="0"/>
                              <a:ext cx="1323975" cy="866775"/>
                            </a:xfrm>
                            <a:prstGeom prst="rect">
                              <a:avLst/>
                            </a:prstGeom>
                            <a:noFill/>
                            <a:ln w="9525">
                              <a:noFill/>
                              <a:miter lim="800000"/>
                              <a:headEnd/>
                              <a:tailEnd/>
                            </a:ln>
                          </pic:spPr>
                        </pic:pic>
                      </a:graphicData>
                    </a:graphic>
                  </wp:anchor>
                </w:drawing>
              </w:r>
            </w:hyperlink>
          </w:p>
        </w:tc>
        <w:tc>
          <w:tcPr>
            <w:tcW w:w="3620" w:type="pct"/>
            <w:vAlign w:val="center"/>
          </w:tcPr>
          <w:p w:rsidR="00EF3ED4" w:rsidRPr="004768CE" w:rsidRDefault="00EF3ED4" w:rsidP="004929A7">
            <w:pPr>
              <w:bidi w:val="0"/>
            </w:pPr>
            <w:r w:rsidRPr="004768CE">
              <w:rPr>
                <w:rFonts w:ascii="Comic Sans MS" w:hAnsi="Comic Sans MS"/>
              </w:rPr>
              <w:t xml:space="preserve">Figure 6: </w:t>
            </w:r>
            <w:r w:rsidRPr="004768CE">
              <w:rPr>
                <w:rFonts w:ascii="Comic Sans MS" w:hAnsi="Comic Sans MS"/>
                <w:i/>
                <w:iCs/>
              </w:rPr>
              <w:t xml:space="preserve">Cortinarius clelandii. </w:t>
            </w:r>
            <w:r w:rsidRPr="004768CE">
              <w:rPr>
                <w:rFonts w:ascii="Comic Sans MS" w:hAnsi="Comic Sans MS"/>
              </w:rPr>
              <w:t xml:space="preserve">Commonly associated with </w:t>
            </w:r>
            <w:r w:rsidRPr="004768CE">
              <w:rPr>
                <w:rFonts w:ascii="Comic Sans MS" w:hAnsi="Comic Sans MS"/>
                <w:i/>
                <w:iCs/>
              </w:rPr>
              <w:t>Eucalyptus</w:t>
            </w:r>
            <w:r w:rsidRPr="004768CE">
              <w:rPr>
                <w:rFonts w:ascii="Comic Sans MS" w:hAnsi="Comic Sans MS"/>
              </w:rPr>
              <w:t xml:space="preserve">, </w:t>
            </w:r>
            <w:r w:rsidRPr="004768CE">
              <w:rPr>
                <w:rFonts w:ascii="Comic Sans MS" w:hAnsi="Comic Sans MS"/>
                <w:i/>
                <w:iCs/>
              </w:rPr>
              <w:t>Melaleuca</w:t>
            </w:r>
            <w:r w:rsidRPr="004768CE">
              <w:rPr>
                <w:rFonts w:ascii="Comic Sans MS" w:hAnsi="Comic Sans MS"/>
              </w:rPr>
              <w:t xml:space="preserve"> and </w:t>
            </w:r>
            <w:r w:rsidRPr="004768CE">
              <w:rPr>
                <w:rFonts w:ascii="Comic Sans MS" w:hAnsi="Comic Sans MS"/>
                <w:i/>
                <w:iCs/>
              </w:rPr>
              <w:t>Casuarina.</w:t>
            </w:r>
          </w:p>
        </w:tc>
      </w:tr>
      <w:tr w:rsidR="00EF3ED4" w:rsidRPr="004768CE" w:rsidTr="00EF3ED4">
        <w:trPr>
          <w:trHeight w:val="385"/>
          <w:tblCellSpacing w:w="15" w:type="dxa"/>
        </w:trPr>
        <w:tc>
          <w:tcPr>
            <w:tcW w:w="1324" w:type="pct"/>
            <w:vAlign w:val="center"/>
          </w:tcPr>
          <w:p w:rsidR="00EF3ED4" w:rsidRPr="004768CE" w:rsidRDefault="00EF3ED4" w:rsidP="00EF3ED4">
            <w:pPr>
              <w:bidi w:val="0"/>
            </w:pPr>
          </w:p>
        </w:tc>
        <w:tc>
          <w:tcPr>
            <w:tcW w:w="3620" w:type="pct"/>
            <w:vAlign w:val="center"/>
          </w:tcPr>
          <w:p w:rsidR="00EF3ED4" w:rsidRPr="004768CE" w:rsidRDefault="00EF3ED4" w:rsidP="00EF3ED4">
            <w:pPr>
              <w:bidi w:val="0"/>
            </w:pPr>
          </w:p>
        </w:tc>
      </w:tr>
      <w:tr w:rsidR="00EF3ED4" w:rsidRPr="004768CE" w:rsidTr="00EF3ED4">
        <w:trPr>
          <w:trHeight w:val="385"/>
          <w:tblCellSpacing w:w="15" w:type="dxa"/>
        </w:trPr>
        <w:tc>
          <w:tcPr>
            <w:tcW w:w="1324" w:type="pct"/>
            <w:vAlign w:val="center"/>
          </w:tcPr>
          <w:p w:rsidR="00EF3ED4" w:rsidRPr="004768CE" w:rsidRDefault="00EF3ED4" w:rsidP="004929A7">
            <w:pPr>
              <w:bidi w:val="0"/>
            </w:pPr>
          </w:p>
        </w:tc>
        <w:tc>
          <w:tcPr>
            <w:tcW w:w="3620" w:type="pct"/>
            <w:vAlign w:val="center"/>
          </w:tcPr>
          <w:p w:rsidR="00EF3ED4" w:rsidRPr="004768CE" w:rsidRDefault="00EF3ED4" w:rsidP="00EF3ED4">
            <w:pPr>
              <w:bidi w:val="0"/>
            </w:pPr>
          </w:p>
        </w:tc>
      </w:tr>
    </w:tbl>
    <w:p w:rsidR="00EF3ED4" w:rsidRPr="004768CE" w:rsidRDefault="00EF3ED4" w:rsidP="00EF3ED4">
      <w:pPr>
        <w:bidi w:val="0"/>
        <w:spacing w:before="100" w:beforeAutospacing="1" w:after="100" w:afterAutospacing="1"/>
      </w:pPr>
      <w:r>
        <w:rPr>
          <w:rFonts w:ascii="Comic Sans MS" w:hAnsi="Comic Sans MS"/>
          <w:sz w:val="28"/>
          <w:szCs w:val="28"/>
        </w:rPr>
        <w:t xml:space="preserve">    </w:t>
      </w:r>
      <w:r w:rsidRPr="004768CE">
        <w:rPr>
          <w:rFonts w:ascii="Comic Sans MS" w:hAnsi="Comic Sans MS"/>
        </w:rPr>
        <w:t>Species in this order are often coriaceous, leathery to woody, but may also be fleshy. The basidiocarps and hymenia are more variable than in the Agaricales. Examples of members of this order can be observed below (Figs. 10-14). As in the case of the Agaricales, the basidiospores are forcibly ejected from the basidium and are then dispersed by wind.</w:t>
      </w:r>
      <w:r w:rsidRPr="004768CE">
        <w:t xml:space="preserve"> </w:t>
      </w:r>
      <w:r w:rsidRPr="004768CE">
        <w:br/>
        <w:t xml:space="preserve">  </w:t>
      </w:r>
    </w:p>
    <w:tbl>
      <w:tblPr>
        <w:tblW w:w="5000" w:type="pct"/>
        <w:tblCellSpacing w:w="15" w:type="dxa"/>
        <w:tblCellMar>
          <w:top w:w="15" w:type="dxa"/>
          <w:left w:w="15" w:type="dxa"/>
          <w:bottom w:w="15" w:type="dxa"/>
          <w:right w:w="15" w:type="dxa"/>
        </w:tblCellMar>
        <w:tblLook w:val="0000"/>
      </w:tblPr>
      <w:tblGrid>
        <w:gridCol w:w="2235"/>
        <w:gridCol w:w="6161"/>
      </w:tblGrid>
      <w:tr w:rsidR="00EF3ED4" w:rsidRPr="004768CE" w:rsidTr="004929A7">
        <w:trPr>
          <w:tblCellSpacing w:w="15" w:type="dxa"/>
        </w:trPr>
        <w:tc>
          <w:tcPr>
            <w:tcW w:w="1100" w:type="pct"/>
            <w:vAlign w:val="center"/>
          </w:tcPr>
          <w:p w:rsidR="00EF3ED4" w:rsidRPr="004768CE" w:rsidRDefault="00580DE6" w:rsidP="004929A7">
            <w:pPr>
              <w:bidi w:val="0"/>
            </w:pPr>
            <w:hyperlink r:id="rId29" w:history="1">
              <w:r w:rsidR="00EF3ED4">
                <w:rPr>
                  <w:noProof/>
                </w:rPr>
                <w:drawing>
                  <wp:anchor distT="0" distB="0" distL="57150" distR="57150" simplePos="0" relativeHeight="251669504" behindDoc="0" locked="0" layoutInCell="1" allowOverlap="0">
                    <wp:simplePos x="0" y="0"/>
                    <wp:positionH relativeFrom="column">
                      <wp:align>left</wp:align>
                    </wp:positionH>
                    <wp:positionV relativeFrom="line">
                      <wp:posOffset>0</wp:posOffset>
                    </wp:positionV>
                    <wp:extent cx="1323975" cy="866775"/>
                    <wp:effectExtent l="19050" t="0" r="9525" b="0"/>
                    <wp:wrapSquare wrapText="bothSides"/>
                    <wp:docPr id="11" name="صورة 11" descr="r_fragit">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_fragit">
                              <a:hlinkClick r:id="rId29"/>
                            </pic:cNvPr>
                            <pic:cNvPicPr>
                              <a:picLocks noChangeAspect="1" noChangeArrowheads="1"/>
                            </pic:cNvPicPr>
                          </pic:nvPicPr>
                          <pic:blipFill>
                            <a:blip r:embed="rId30"/>
                            <a:srcRect/>
                            <a:stretch>
                              <a:fillRect/>
                            </a:stretch>
                          </pic:blipFill>
                          <pic:spPr bwMode="auto">
                            <a:xfrm>
                              <a:off x="0" y="0"/>
                              <a:ext cx="1323975" cy="866775"/>
                            </a:xfrm>
                            <a:prstGeom prst="rect">
                              <a:avLst/>
                            </a:prstGeom>
                            <a:noFill/>
                            <a:ln w="9525">
                              <a:noFill/>
                              <a:miter lim="800000"/>
                              <a:headEnd/>
                              <a:tailEnd/>
                            </a:ln>
                          </pic:spPr>
                        </pic:pic>
                      </a:graphicData>
                    </a:graphic>
                  </wp:anchor>
                </w:drawing>
              </w:r>
            </w:hyperlink>
          </w:p>
        </w:tc>
        <w:tc>
          <w:tcPr>
            <w:tcW w:w="3900" w:type="pct"/>
            <w:vAlign w:val="center"/>
          </w:tcPr>
          <w:p w:rsidR="00EF3ED4" w:rsidRPr="004768CE" w:rsidRDefault="00EF3ED4" w:rsidP="004929A7">
            <w:pPr>
              <w:bidi w:val="0"/>
            </w:pPr>
            <w:r w:rsidRPr="004768CE">
              <w:rPr>
                <w:rFonts w:ascii="Comic Sans MS" w:hAnsi="Comic Sans MS"/>
              </w:rPr>
              <w:t xml:space="preserve">Figure 10: </w:t>
            </w:r>
            <w:r w:rsidRPr="004768CE">
              <w:rPr>
                <w:rFonts w:ascii="Comic Sans MS" w:hAnsi="Comic Sans MS"/>
                <w:i/>
                <w:iCs/>
              </w:rPr>
              <w:t>Ramaria fragilima</w:t>
            </w:r>
            <w:r w:rsidRPr="004768CE">
              <w:rPr>
                <w:rFonts w:ascii="Comic Sans MS" w:hAnsi="Comic Sans MS"/>
              </w:rPr>
              <w:t>, a coral fungus. The basidia and basidiospores are formed at the tips of the basidiocarp.</w:t>
            </w:r>
          </w:p>
        </w:tc>
      </w:tr>
      <w:tr w:rsidR="00EF3ED4" w:rsidRPr="004768CE" w:rsidTr="004929A7">
        <w:trPr>
          <w:tblCellSpacing w:w="15" w:type="dxa"/>
        </w:trPr>
        <w:tc>
          <w:tcPr>
            <w:tcW w:w="1100" w:type="pct"/>
            <w:vAlign w:val="center"/>
          </w:tcPr>
          <w:p w:rsidR="00EF3ED4" w:rsidRPr="004768CE" w:rsidRDefault="00580DE6" w:rsidP="004929A7">
            <w:pPr>
              <w:bidi w:val="0"/>
            </w:pPr>
            <w:hyperlink r:id="rId31" w:history="1">
              <w:r w:rsidR="00EF3ED4">
                <w:rPr>
                  <w:noProof/>
                </w:rPr>
                <w:drawing>
                  <wp:anchor distT="0" distB="0" distL="57150" distR="57150" simplePos="0" relativeHeight="251670528" behindDoc="0" locked="0" layoutInCell="1" allowOverlap="0">
                    <wp:simplePos x="0" y="0"/>
                    <wp:positionH relativeFrom="column">
                      <wp:align>left</wp:align>
                    </wp:positionH>
                    <wp:positionV relativeFrom="line">
                      <wp:posOffset>0</wp:posOffset>
                    </wp:positionV>
                    <wp:extent cx="1323975" cy="866775"/>
                    <wp:effectExtent l="19050" t="0" r="9525" b="0"/>
                    <wp:wrapSquare wrapText="bothSides"/>
                    <wp:docPr id="12" name="صورة 12" descr="p_sanqut">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_sanqut">
                              <a:hlinkClick r:id="rId31"/>
                            </pic:cNvPr>
                            <pic:cNvPicPr>
                              <a:picLocks noChangeAspect="1" noChangeArrowheads="1"/>
                            </pic:cNvPicPr>
                          </pic:nvPicPr>
                          <pic:blipFill>
                            <a:blip r:embed="rId32"/>
                            <a:srcRect/>
                            <a:stretch>
                              <a:fillRect/>
                            </a:stretch>
                          </pic:blipFill>
                          <pic:spPr bwMode="auto">
                            <a:xfrm>
                              <a:off x="0" y="0"/>
                              <a:ext cx="1323975" cy="866775"/>
                            </a:xfrm>
                            <a:prstGeom prst="rect">
                              <a:avLst/>
                            </a:prstGeom>
                            <a:noFill/>
                            <a:ln w="9525">
                              <a:noFill/>
                              <a:miter lim="800000"/>
                              <a:headEnd/>
                              <a:tailEnd/>
                            </a:ln>
                          </pic:spPr>
                        </pic:pic>
                      </a:graphicData>
                    </a:graphic>
                  </wp:anchor>
                </w:drawing>
              </w:r>
            </w:hyperlink>
          </w:p>
        </w:tc>
        <w:tc>
          <w:tcPr>
            <w:tcW w:w="3900" w:type="pct"/>
            <w:vAlign w:val="center"/>
          </w:tcPr>
          <w:p w:rsidR="00EF3ED4" w:rsidRPr="004768CE" w:rsidRDefault="00EF3ED4" w:rsidP="004929A7">
            <w:pPr>
              <w:bidi w:val="0"/>
            </w:pPr>
            <w:r w:rsidRPr="004768CE">
              <w:rPr>
                <w:rFonts w:ascii="Comic Sans MS" w:hAnsi="Comic Sans MS"/>
              </w:rPr>
              <w:t xml:space="preserve">Figure 11: </w:t>
            </w:r>
            <w:r w:rsidRPr="004768CE">
              <w:rPr>
                <w:rFonts w:ascii="Comic Sans MS" w:hAnsi="Comic Sans MS"/>
                <w:i/>
                <w:iCs/>
              </w:rPr>
              <w:t>Pycnoporous sanguineus</w:t>
            </w:r>
            <w:r w:rsidRPr="004768CE">
              <w:rPr>
                <w:rFonts w:ascii="Comic Sans MS" w:hAnsi="Comic Sans MS"/>
              </w:rPr>
              <w:t>, a polypore. The basidia and basidiospores are formed in the pores of the hymenium surface on the basidiocarps (see Fig 12).</w:t>
            </w:r>
          </w:p>
        </w:tc>
      </w:tr>
      <w:tr w:rsidR="00EF3ED4" w:rsidRPr="004768CE" w:rsidTr="004929A7">
        <w:trPr>
          <w:tblCellSpacing w:w="15" w:type="dxa"/>
        </w:trPr>
        <w:tc>
          <w:tcPr>
            <w:tcW w:w="1100" w:type="pct"/>
            <w:vAlign w:val="center"/>
          </w:tcPr>
          <w:p w:rsidR="00EF3ED4" w:rsidRPr="004768CE" w:rsidRDefault="00EF3ED4" w:rsidP="004929A7">
            <w:pPr>
              <w:bidi w:val="0"/>
            </w:pPr>
            <w:r>
              <w:rPr>
                <w:noProof/>
                <w:color w:val="0000FF"/>
              </w:rPr>
              <w:drawing>
                <wp:inline distT="0" distB="0" distL="0" distR="0">
                  <wp:extent cx="1343025" cy="885825"/>
                  <wp:effectExtent l="19050" t="0" r="9525" b="0"/>
                  <wp:docPr id="31" name="صورة 31" descr="Porous_hymenium-t.jpg (30209 bytes)">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orous_hymenium-t.jpg (30209 bytes)"/>
                          <pic:cNvPicPr>
                            <a:picLocks noChangeAspect="1" noChangeArrowheads="1"/>
                          </pic:cNvPicPr>
                        </pic:nvPicPr>
                        <pic:blipFill>
                          <a:blip r:embed="rId34"/>
                          <a:srcRect/>
                          <a:stretch>
                            <a:fillRect/>
                          </a:stretch>
                        </pic:blipFill>
                        <pic:spPr bwMode="auto">
                          <a:xfrm>
                            <a:off x="0" y="0"/>
                            <a:ext cx="1343025" cy="885825"/>
                          </a:xfrm>
                          <a:prstGeom prst="rect">
                            <a:avLst/>
                          </a:prstGeom>
                          <a:noFill/>
                          <a:ln w="9525">
                            <a:noFill/>
                            <a:miter lim="800000"/>
                            <a:headEnd/>
                            <a:tailEnd/>
                          </a:ln>
                        </pic:spPr>
                      </pic:pic>
                    </a:graphicData>
                  </a:graphic>
                </wp:inline>
              </w:drawing>
            </w:r>
          </w:p>
        </w:tc>
        <w:tc>
          <w:tcPr>
            <w:tcW w:w="3900" w:type="pct"/>
            <w:vAlign w:val="center"/>
          </w:tcPr>
          <w:p w:rsidR="00EF3ED4" w:rsidRPr="004768CE" w:rsidRDefault="00EF3ED4" w:rsidP="004929A7">
            <w:pPr>
              <w:bidi w:val="0"/>
            </w:pPr>
            <w:r w:rsidRPr="004768CE">
              <w:rPr>
                <w:rFonts w:ascii="Comic Sans MS" w:hAnsi="Comic Sans MS"/>
              </w:rPr>
              <w:t>Figure 12: Porous hymenium from a prepared slide.</w:t>
            </w:r>
          </w:p>
        </w:tc>
      </w:tr>
      <w:tr w:rsidR="00EF3ED4" w:rsidRPr="004768CE" w:rsidTr="004929A7">
        <w:trPr>
          <w:tblCellSpacing w:w="15" w:type="dxa"/>
        </w:trPr>
        <w:tc>
          <w:tcPr>
            <w:tcW w:w="1100" w:type="pct"/>
            <w:vAlign w:val="center"/>
          </w:tcPr>
          <w:p w:rsidR="00EF3ED4" w:rsidRPr="004768CE" w:rsidRDefault="00EF3ED4" w:rsidP="004929A7">
            <w:pPr>
              <w:bidi w:val="0"/>
            </w:pPr>
            <w:r>
              <w:rPr>
                <w:noProof/>
                <w:color w:val="0000FF"/>
              </w:rPr>
              <w:drawing>
                <wp:inline distT="0" distB="0" distL="0" distR="0">
                  <wp:extent cx="1343025" cy="914400"/>
                  <wp:effectExtent l="19050" t="0" r="9525" b="0"/>
                  <wp:docPr id="32" name="صورة 32" descr="G_applanatum-t.jpg (27915 bytes)">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G_applanatum-t.jpg (27915 bytes)"/>
                          <pic:cNvPicPr>
                            <a:picLocks noChangeAspect="1" noChangeArrowheads="1"/>
                          </pic:cNvPicPr>
                        </pic:nvPicPr>
                        <pic:blipFill>
                          <a:blip r:embed="rId36"/>
                          <a:srcRect/>
                          <a:stretch>
                            <a:fillRect/>
                          </a:stretch>
                        </pic:blipFill>
                        <pic:spPr bwMode="auto">
                          <a:xfrm>
                            <a:off x="0" y="0"/>
                            <a:ext cx="1343025" cy="914400"/>
                          </a:xfrm>
                          <a:prstGeom prst="rect">
                            <a:avLst/>
                          </a:prstGeom>
                          <a:noFill/>
                          <a:ln w="9525">
                            <a:noFill/>
                            <a:miter lim="800000"/>
                            <a:headEnd/>
                            <a:tailEnd/>
                          </a:ln>
                        </pic:spPr>
                      </pic:pic>
                    </a:graphicData>
                  </a:graphic>
                </wp:inline>
              </w:drawing>
            </w:r>
          </w:p>
        </w:tc>
        <w:tc>
          <w:tcPr>
            <w:tcW w:w="3900" w:type="pct"/>
            <w:vAlign w:val="center"/>
          </w:tcPr>
          <w:p w:rsidR="00EF3ED4" w:rsidRPr="004768CE" w:rsidRDefault="00EF3ED4" w:rsidP="004929A7">
            <w:pPr>
              <w:bidi w:val="0"/>
            </w:pPr>
            <w:r w:rsidRPr="004768CE">
              <w:rPr>
                <w:rFonts w:ascii="Comic Sans MS" w:hAnsi="Comic Sans MS"/>
              </w:rPr>
              <w:t xml:space="preserve">Figure 13: </w:t>
            </w:r>
            <w:r w:rsidRPr="004768CE">
              <w:rPr>
                <w:rFonts w:ascii="Comic Sans MS" w:hAnsi="Comic Sans MS"/>
                <w:i/>
                <w:iCs/>
              </w:rPr>
              <w:t>Ganoderma applanatum</w:t>
            </w:r>
            <w:r w:rsidRPr="004768CE">
              <w:rPr>
                <w:rFonts w:ascii="Comic Sans MS" w:hAnsi="Comic Sans MS"/>
              </w:rPr>
              <w:t>, another polypore.</w:t>
            </w:r>
          </w:p>
        </w:tc>
      </w:tr>
      <w:tr w:rsidR="00EF3ED4" w:rsidRPr="004768CE" w:rsidTr="004929A7">
        <w:trPr>
          <w:tblCellSpacing w:w="15" w:type="dxa"/>
        </w:trPr>
        <w:tc>
          <w:tcPr>
            <w:tcW w:w="1100" w:type="pct"/>
            <w:vAlign w:val="center"/>
          </w:tcPr>
          <w:p w:rsidR="00EF3ED4" w:rsidRPr="004768CE" w:rsidRDefault="00580DE6" w:rsidP="004929A7">
            <w:pPr>
              <w:bidi w:val="0"/>
            </w:pPr>
            <w:hyperlink r:id="rId37" w:history="1">
              <w:r w:rsidR="00EF3ED4">
                <w:rPr>
                  <w:noProof/>
                </w:rPr>
                <w:drawing>
                  <wp:anchor distT="0" distB="0" distL="57150" distR="57150" simplePos="0" relativeHeight="251671552" behindDoc="0" locked="0" layoutInCell="1" allowOverlap="0">
                    <wp:simplePos x="0" y="0"/>
                    <wp:positionH relativeFrom="column">
                      <wp:align>left</wp:align>
                    </wp:positionH>
                    <wp:positionV relativeFrom="line">
                      <wp:posOffset>0</wp:posOffset>
                    </wp:positionV>
                    <wp:extent cx="1323975" cy="866775"/>
                    <wp:effectExtent l="19050" t="0" r="9525" b="0"/>
                    <wp:wrapSquare wrapText="bothSides"/>
                    <wp:docPr id="13" name="صورة 13" descr="h_peckt">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_peckt">
                              <a:hlinkClick r:id="rId37"/>
                            </pic:cNvPr>
                            <pic:cNvPicPr>
                              <a:picLocks noChangeAspect="1" noChangeArrowheads="1"/>
                            </pic:cNvPicPr>
                          </pic:nvPicPr>
                          <pic:blipFill>
                            <a:blip r:embed="rId38"/>
                            <a:srcRect/>
                            <a:stretch>
                              <a:fillRect/>
                            </a:stretch>
                          </pic:blipFill>
                          <pic:spPr bwMode="auto">
                            <a:xfrm>
                              <a:off x="0" y="0"/>
                              <a:ext cx="1323975" cy="866775"/>
                            </a:xfrm>
                            <a:prstGeom prst="rect">
                              <a:avLst/>
                            </a:prstGeom>
                            <a:noFill/>
                            <a:ln w="9525">
                              <a:noFill/>
                              <a:miter lim="800000"/>
                              <a:headEnd/>
                              <a:tailEnd/>
                            </a:ln>
                          </pic:spPr>
                        </pic:pic>
                      </a:graphicData>
                    </a:graphic>
                  </wp:anchor>
                </w:drawing>
              </w:r>
            </w:hyperlink>
          </w:p>
        </w:tc>
        <w:tc>
          <w:tcPr>
            <w:tcW w:w="3900" w:type="pct"/>
            <w:vAlign w:val="center"/>
          </w:tcPr>
          <w:p w:rsidR="00EF3ED4" w:rsidRPr="004768CE" w:rsidRDefault="00EF3ED4" w:rsidP="004929A7">
            <w:pPr>
              <w:bidi w:val="0"/>
            </w:pPr>
            <w:r w:rsidRPr="004768CE">
              <w:rPr>
                <w:rFonts w:ascii="Comic Sans MS" w:hAnsi="Comic Sans MS"/>
              </w:rPr>
              <w:t xml:space="preserve">Figure 14: </w:t>
            </w:r>
            <w:r w:rsidRPr="004768CE">
              <w:rPr>
                <w:rFonts w:ascii="Comic Sans MS" w:hAnsi="Comic Sans MS"/>
                <w:i/>
                <w:iCs/>
              </w:rPr>
              <w:t>Hydnellum peckii</w:t>
            </w:r>
            <w:r w:rsidRPr="004768CE">
              <w:rPr>
                <w:rFonts w:ascii="Comic Sans MS" w:hAnsi="Comic Sans MS"/>
              </w:rPr>
              <w:t>. The basidia and basidiospores are formed on the spines of the hymenium surface of the basidiocarp.</w:t>
            </w:r>
          </w:p>
        </w:tc>
      </w:tr>
    </w:tbl>
    <w:p w:rsidR="00EF3ED4" w:rsidRDefault="00EF3ED4" w:rsidP="00402094">
      <w:pPr>
        <w:bidi w:val="0"/>
        <w:rPr>
          <w:rFonts w:asciiTheme="majorBidi" w:hAnsiTheme="majorBidi" w:cstheme="majorBidi"/>
          <w:sz w:val="28"/>
          <w:szCs w:val="28"/>
        </w:rPr>
      </w:pPr>
    </w:p>
    <w:sectPr w:rsidR="00EF3ED4" w:rsidSect="00822CEA">
      <w:footerReference w:type="default" r:id="rId39"/>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17AF" w:rsidRDefault="00CD17AF" w:rsidP="00EF3ED4">
      <w:pPr>
        <w:spacing w:after="0" w:line="240" w:lineRule="auto"/>
      </w:pPr>
      <w:r>
        <w:separator/>
      </w:r>
    </w:p>
  </w:endnote>
  <w:endnote w:type="continuationSeparator" w:id="1">
    <w:p w:rsidR="00CD17AF" w:rsidRDefault="00CD17AF" w:rsidP="00EF3E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242714"/>
      <w:docPartObj>
        <w:docPartGallery w:val="Page Numbers (Bottom of Page)"/>
        <w:docPartUnique/>
      </w:docPartObj>
    </w:sdtPr>
    <w:sdtContent>
      <w:p w:rsidR="00EF3ED4" w:rsidRDefault="00580DE6">
        <w:pPr>
          <w:pStyle w:val="a8"/>
          <w:jc w:val="center"/>
        </w:pPr>
        <w:fldSimple w:instr=" PAGE   \* MERGEFORMAT ">
          <w:r w:rsidR="00782652" w:rsidRPr="00782652">
            <w:rPr>
              <w:rFonts w:cs="Calibri"/>
              <w:noProof/>
              <w:rtl/>
              <w:lang w:val="ar-SA"/>
            </w:rPr>
            <w:t>1</w:t>
          </w:r>
        </w:fldSimple>
      </w:p>
    </w:sdtContent>
  </w:sdt>
  <w:p w:rsidR="00EF3ED4" w:rsidRDefault="00EF3ED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17AF" w:rsidRDefault="00CD17AF" w:rsidP="00EF3ED4">
      <w:pPr>
        <w:spacing w:after="0" w:line="240" w:lineRule="auto"/>
      </w:pPr>
      <w:r>
        <w:separator/>
      </w:r>
    </w:p>
  </w:footnote>
  <w:footnote w:type="continuationSeparator" w:id="1">
    <w:p w:rsidR="00CD17AF" w:rsidRDefault="00CD17AF" w:rsidP="00EF3ED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F3ED4"/>
    <w:rsid w:val="0038195D"/>
    <w:rsid w:val="00402094"/>
    <w:rsid w:val="00415600"/>
    <w:rsid w:val="00580DE6"/>
    <w:rsid w:val="00782652"/>
    <w:rsid w:val="0080669E"/>
    <w:rsid w:val="00822CEA"/>
    <w:rsid w:val="009E11EF"/>
    <w:rsid w:val="00CC23B9"/>
    <w:rsid w:val="00CD17AF"/>
    <w:rsid w:val="00D445F6"/>
    <w:rsid w:val="00EF3ED4"/>
    <w:rsid w:val="00F351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ED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F3ED4"/>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EF3ED4"/>
    <w:rPr>
      <w:rFonts w:ascii="Tahoma" w:hAnsi="Tahoma" w:cs="Tahoma"/>
      <w:sz w:val="16"/>
      <w:szCs w:val="16"/>
    </w:rPr>
  </w:style>
  <w:style w:type="character" w:styleId="a4">
    <w:name w:val="Strong"/>
    <w:basedOn w:val="a0"/>
    <w:qFormat/>
    <w:rsid w:val="00EF3ED4"/>
    <w:rPr>
      <w:b/>
      <w:bCs/>
    </w:rPr>
  </w:style>
  <w:style w:type="paragraph" w:styleId="a5">
    <w:name w:val="Normal (Web)"/>
    <w:basedOn w:val="a"/>
    <w:rsid w:val="00EF3ED4"/>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rsid w:val="00EF3ED4"/>
    <w:rPr>
      <w:color w:val="0000FF"/>
      <w:u w:val="single"/>
    </w:rPr>
  </w:style>
  <w:style w:type="character" w:styleId="a6">
    <w:name w:val="Emphasis"/>
    <w:basedOn w:val="a0"/>
    <w:qFormat/>
    <w:rsid w:val="00EF3ED4"/>
    <w:rPr>
      <w:i/>
      <w:iCs/>
    </w:rPr>
  </w:style>
  <w:style w:type="paragraph" w:styleId="a7">
    <w:name w:val="header"/>
    <w:basedOn w:val="a"/>
    <w:link w:val="Char0"/>
    <w:uiPriority w:val="99"/>
    <w:semiHidden/>
    <w:unhideWhenUsed/>
    <w:rsid w:val="00EF3ED4"/>
    <w:pPr>
      <w:tabs>
        <w:tab w:val="center" w:pos="4153"/>
        <w:tab w:val="right" w:pos="8306"/>
      </w:tabs>
      <w:spacing w:after="0" w:line="240" w:lineRule="auto"/>
    </w:pPr>
  </w:style>
  <w:style w:type="character" w:customStyle="1" w:styleId="Char0">
    <w:name w:val="رأس صفحة Char"/>
    <w:basedOn w:val="a0"/>
    <w:link w:val="a7"/>
    <w:uiPriority w:val="99"/>
    <w:semiHidden/>
    <w:rsid w:val="00EF3ED4"/>
  </w:style>
  <w:style w:type="paragraph" w:styleId="a8">
    <w:name w:val="footer"/>
    <w:basedOn w:val="a"/>
    <w:link w:val="Char1"/>
    <w:uiPriority w:val="99"/>
    <w:unhideWhenUsed/>
    <w:rsid w:val="00EF3ED4"/>
    <w:pPr>
      <w:tabs>
        <w:tab w:val="center" w:pos="4153"/>
        <w:tab w:val="right" w:pos="8306"/>
      </w:tabs>
      <w:spacing w:after="0" w:line="240" w:lineRule="auto"/>
    </w:pPr>
  </w:style>
  <w:style w:type="character" w:customStyle="1" w:styleId="Char1">
    <w:name w:val="تذييل صفحة Char"/>
    <w:basedOn w:val="a0"/>
    <w:link w:val="a8"/>
    <w:uiPriority w:val="99"/>
    <w:rsid w:val="00EF3ED4"/>
  </w:style>
</w:styles>
</file>

<file path=word/webSettings.xml><?xml version="1.0" encoding="utf-8"?>
<w:webSettings xmlns:r="http://schemas.openxmlformats.org/officeDocument/2006/relationships" xmlns:w="http://schemas.openxmlformats.org/wordprocessingml/2006/main">
  <w:divs>
    <w:div w:id="998194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logy.ed.ac.uk/research/groups/jdeacon/microbes/mycorrh.htm" TargetMode="External"/><Relationship Id="rId13" Type="http://schemas.openxmlformats.org/officeDocument/2006/relationships/image" Target="file:///C:\Users\Abo_Ahhassan\Documents\iS%20ckkct%20_files_1\pict1.jpg" TargetMode="External"/><Relationship Id="rId18" Type="http://schemas.openxmlformats.org/officeDocument/2006/relationships/image" Target="media/image6.jpeg"/><Relationship Id="rId26" Type="http://schemas.openxmlformats.org/officeDocument/2006/relationships/hyperlink" Target="http://www.botany.hawaii.edu/faculty/wong/Bot201/Basidiomycota/Clamp_connection_formation.htm" TargetMode="External"/><Relationship Id="rId39"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hyperlink" Target="http://www.botany.hawaii.edu/faculty/wong/Bot201/Basidiomycota/coprin2.JPG" TargetMode="External"/><Relationship Id="rId34" Type="http://schemas.openxmlformats.org/officeDocument/2006/relationships/image" Target="media/image13.jpeg"/><Relationship Id="rId7" Type="http://schemas.openxmlformats.org/officeDocument/2006/relationships/hyperlink" Target="http://www.biology.ed.ac.uk/research/groups/jdeacon/microbes/armill.htm" TargetMode="External"/><Relationship Id="rId12" Type="http://schemas.openxmlformats.org/officeDocument/2006/relationships/image" Target="media/image4.jpeg"/><Relationship Id="rId17" Type="http://schemas.openxmlformats.org/officeDocument/2006/relationships/hyperlink" Target="http://www.botany.hawaii.edu/faculty/wong/Bot201/Basidiomycota/Mushroom.jpg" TargetMode="External"/><Relationship Id="rId25" Type="http://schemas.openxmlformats.org/officeDocument/2006/relationships/hyperlink" Target="http://www.botany.hawaii.edu/faculty/wong/Bot201/Basidiomycota/Mushroom_Lifecycle.htm" TargetMode="External"/><Relationship Id="rId33" Type="http://schemas.openxmlformats.org/officeDocument/2006/relationships/hyperlink" Target="http://www.botany.hawaii.edu/faculty/wong/Bot201/Basidiomycota/Porous_hymenium.jpg" TargetMode="External"/><Relationship Id="rId38" Type="http://schemas.openxmlformats.org/officeDocument/2006/relationships/image" Target="media/image15.jpeg"/><Relationship Id="rId2" Type="http://schemas.openxmlformats.org/officeDocument/2006/relationships/settings" Target="settings.xml"/><Relationship Id="rId16" Type="http://schemas.openxmlformats.org/officeDocument/2006/relationships/hyperlink" Target="http://www.botany.hawaii.edu/faculty/wong/Bot201/Basidiomycota/Spore_Dispersal.gif" TargetMode="External"/><Relationship Id="rId20" Type="http://schemas.openxmlformats.org/officeDocument/2006/relationships/image" Target="media/image7.jpeg"/><Relationship Id="rId29" Type="http://schemas.openxmlformats.org/officeDocument/2006/relationships/hyperlink" Target="http://www.botany.hawaii.edu/faculty/wong/Bot201/Basidiomycota/r_fragil.jpg"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biology.ed.ac.uk/research/groups/jdeacon/microbes/biotroph.htm" TargetMode="External"/><Relationship Id="rId11" Type="http://schemas.openxmlformats.org/officeDocument/2006/relationships/image" Target="media/image3.png"/><Relationship Id="rId24" Type="http://schemas.openxmlformats.org/officeDocument/2006/relationships/image" Target="media/image9.jpeg"/><Relationship Id="rId32" Type="http://schemas.openxmlformats.org/officeDocument/2006/relationships/image" Target="media/image12.jpeg"/><Relationship Id="rId37" Type="http://schemas.openxmlformats.org/officeDocument/2006/relationships/hyperlink" Target="http://www.botany.hawaii.edu/faculty/wong/Bot201/Basidiomycota/h_peck.jpg" TargetMode="External"/><Relationship Id="rId40"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file:///C:\Users\Abo_Ahhassan\Documents\Classific_files_1\pict1.jpg" TargetMode="External"/><Relationship Id="rId23" Type="http://schemas.openxmlformats.org/officeDocument/2006/relationships/hyperlink" Target="http://www.botany.hawaii.edu/faculty/wong/Bot201/Basidiomycota/coprin3.JPG" TargetMode="External"/><Relationship Id="rId28" Type="http://schemas.openxmlformats.org/officeDocument/2006/relationships/image" Target="media/image10.jpeg"/><Relationship Id="rId36" Type="http://schemas.openxmlformats.org/officeDocument/2006/relationships/image" Target="media/image14.jpeg"/><Relationship Id="rId10" Type="http://schemas.openxmlformats.org/officeDocument/2006/relationships/image" Target="media/image2.png"/><Relationship Id="rId19" Type="http://schemas.openxmlformats.org/officeDocument/2006/relationships/hyperlink" Target="http://www.botany.hawaii.edu/faculty/wong/Bot201/Basidiomycota/coprin1.JPG" TargetMode="External"/><Relationship Id="rId31" Type="http://schemas.openxmlformats.org/officeDocument/2006/relationships/hyperlink" Target="http://www.botany.hawaii.edu/faculty/wong/Bot201/Basidiomycota/p_sanqu.jpg" TargetMode="Externa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image" Target="media/image5.jpeg"/><Relationship Id="rId22" Type="http://schemas.openxmlformats.org/officeDocument/2006/relationships/image" Target="media/image8.jpeg"/><Relationship Id="rId27" Type="http://schemas.openxmlformats.org/officeDocument/2006/relationships/hyperlink" Target="http://www.botany.hawaii.edu/faculty/wong/Bot201/Basidiomycota/cortin.jpg" TargetMode="External"/><Relationship Id="rId30" Type="http://schemas.openxmlformats.org/officeDocument/2006/relationships/image" Target="media/image11.jpeg"/><Relationship Id="rId35" Type="http://schemas.openxmlformats.org/officeDocument/2006/relationships/hyperlink" Target="http://www.botany.hawaii.edu/faculty/wong/Bot201/Basidiomycota/G_applanatum.jpg"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1676</Words>
  <Characters>9557</Characters>
  <Application>Microsoft Office Word</Application>
  <DocSecurity>0</DocSecurity>
  <Lines>79</Lines>
  <Paragraphs>22</Paragraphs>
  <ScaleCrop>false</ScaleCrop>
  <Company/>
  <LinksUpToDate>false</LinksUpToDate>
  <CharactersWithSpaces>11211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zaid</dc:creator>
  <cp:lastModifiedBy>king</cp:lastModifiedBy>
  <cp:revision>5</cp:revision>
  <dcterms:created xsi:type="dcterms:W3CDTF">2012-09-23T07:26:00Z</dcterms:created>
  <dcterms:modified xsi:type="dcterms:W3CDTF">2013-01-31T21:27:00Z</dcterms:modified>
</cp:coreProperties>
</file>