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12" w:rsidRPr="00BE1B3A" w:rsidRDefault="00BE1B3A">
      <w:pPr>
        <w:rPr>
          <w:sz w:val="96"/>
          <w:szCs w:val="96"/>
          <w:rtl/>
          <w:lang w:bidi="ar-IQ"/>
        </w:rPr>
      </w:pPr>
      <w:r w:rsidRPr="00BE1B3A">
        <w:rPr>
          <w:rFonts w:hint="cs"/>
          <w:sz w:val="96"/>
          <w:szCs w:val="96"/>
          <w:rtl/>
          <w:lang w:bidi="ar-IQ"/>
        </w:rPr>
        <w:t xml:space="preserve">المحاضرة الثانية </w:t>
      </w:r>
    </w:p>
    <w:p w:rsidR="00BE1B3A" w:rsidRPr="004F012E" w:rsidRDefault="00BE1B3A" w:rsidP="00BE1B3A">
      <w:pPr>
        <w:rPr>
          <w:b/>
          <w:bCs/>
          <w:sz w:val="44"/>
          <w:szCs w:val="44"/>
          <w:rtl/>
          <w:lang w:bidi="ar-IQ"/>
        </w:rPr>
      </w:pPr>
    </w:p>
    <w:p w:rsidR="004F012E" w:rsidRPr="004F012E" w:rsidRDefault="004F012E" w:rsidP="004F012E">
      <w:pPr>
        <w:spacing w:line="240" w:lineRule="auto"/>
        <w:ind w:left="360"/>
        <w:jc w:val="lowKashida"/>
        <w:rPr>
          <w:rFonts w:asciiTheme="majorBidi" w:hAnsiTheme="majorBidi" w:cstheme="majorBidi"/>
          <w:b/>
          <w:bCs/>
          <w:sz w:val="52"/>
          <w:szCs w:val="52"/>
        </w:rPr>
      </w:pPr>
      <w:r w:rsidRPr="004F012E">
        <w:rPr>
          <w:rFonts w:asciiTheme="majorBidi" w:hAnsiTheme="majorBidi" w:cstheme="majorBidi"/>
          <w:b/>
          <w:bCs/>
          <w:sz w:val="52"/>
          <w:szCs w:val="52"/>
          <w:rtl/>
          <w:lang w:bidi="ar-IQ"/>
        </w:rPr>
        <w:t>كيفية خلق الودائع :</w:t>
      </w:r>
      <w:r w:rsidRPr="004F012E">
        <w:rPr>
          <w:rFonts w:asciiTheme="majorBidi" w:hAnsiTheme="majorBidi" w:cstheme="majorBidi"/>
          <w:b/>
          <w:bCs/>
          <w:sz w:val="52"/>
          <w:szCs w:val="52"/>
          <w:lang w:bidi="ar-IQ"/>
        </w:rPr>
        <w:t>Deposits creation</w:t>
      </w: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BE1B3A" w:rsidRDefault="00BE1B3A">
      <w:pPr>
        <w:rPr>
          <w:rtl/>
          <w:lang w:bidi="ar-IQ"/>
        </w:rPr>
      </w:pPr>
    </w:p>
    <w:p w:rsidR="004F012E" w:rsidRDefault="004F012E" w:rsidP="004F012E">
      <w:pPr>
        <w:spacing w:line="240" w:lineRule="auto"/>
        <w:ind w:left="360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lastRenderedPageBreak/>
        <w:t>كي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>فية خلق الودائع :</w:t>
      </w:r>
      <w:r>
        <w:rPr>
          <w:rFonts w:asciiTheme="majorBidi" w:hAnsiTheme="majorBidi" w:cstheme="majorBidi"/>
          <w:sz w:val="28"/>
          <w:szCs w:val="28"/>
          <w:lang w:bidi="ar-IQ"/>
        </w:rPr>
        <w:t>Deposits creation</w:t>
      </w:r>
    </w:p>
    <w:p w:rsidR="004F012E" w:rsidRDefault="004F012E" w:rsidP="004F012E">
      <w:pPr>
        <w:spacing w:line="240" w:lineRule="auto"/>
        <w:ind w:left="36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لا تستطيع البنوك التجارية خلق الودائع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الا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بوجود الاحتياطات النقدية  واهم الافتراضات اللازمة لذلك هي :</w:t>
      </w:r>
    </w:p>
    <w:p w:rsidR="004F012E" w:rsidRDefault="004F012E" w:rsidP="004F012E">
      <w:pPr>
        <w:pStyle w:val="a3"/>
        <w:numPr>
          <w:ilvl w:val="0"/>
          <w:numId w:val="4"/>
        </w:numPr>
        <w:spacing w:after="16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لابد من وجود </w:t>
      </w:r>
      <w:proofErr w:type="spellStart"/>
      <w:r>
        <w:rPr>
          <w:rFonts w:asciiTheme="majorBidi" w:hAnsiTheme="majorBidi" w:cstheme="majorBidi"/>
          <w:sz w:val="28"/>
          <w:szCs w:val="28"/>
          <w:rtl/>
        </w:rPr>
        <w:t>اكثر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من بنك تجاري </w:t>
      </w:r>
      <w:proofErr w:type="spellStart"/>
      <w:r>
        <w:rPr>
          <w:rFonts w:asciiTheme="majorBidi" w:hAnsiTheme="majorBidi" w:cstheme="majorBidi"/>
          <w:sz w:val="28"/>
          <w:szCs w:val="28"/>
          <w:rtl/>
        </w:rPr>
        <w:t>او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وجود جهاز مصرفي تجاري متكامل </w:t>
      </w:r>
    </w:p>
    <w:p w:rsidR="004F012E" w:rsidRDefault="004F012E" w:rsidP="004F012E">
      <w:pPr>
        <w:pStyle w:val="a3"/>
        <w:numPr>
          <w:ilvl w:val="0"/>
          <w:numId w:val="4"/>
        </w:numPr>
        <w:spacing w:after="16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  <w:rtl/>
        </w:rPr>
        <w:t>ان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خلق الودائع الجديدة يعتمد على حجم الاحتياطي القانوني </w:t>
      </w:r>
    </w:p>
    <w:p w:rsidR="004F012E" w:rsidRDefault="004F012E" w:rsidP="004F012E">
      <w:pPr>
        <w:pStyle w:val="a3"/>
        <w:numPr>
          <w:ilvl w:val="0"/>
          <w:numId w:val="4"/>
        </w:numPr>
        <w:spacing w:after="16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يقرض الجهاز المصرفي التجاري كل ما يزيد عن الاحتياطي القانوني </w:t>
      </w:r>
    </w:p>
    <w:p w:rsidR="004F012E" w:rsidRDefault="004F012E" w:rsidP="004F012E">
      <w:pPr>
        <w:pStyle w:val="a3"/>
        <w:numPr>
          <w:ilvl w:val="0"/>
          <w:numId w:val="4"/>
        </w:numPr>
        <w:spacing w:after="16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تحتفظ كل الوحدات الاقتصادية المستفيدة من القروض في المصارف التجارية دون </w:t>
      </w:r>
      <w:proofErr w:type="spellStart"/>
      <w:r>
        <w:rPr>
          <w:rFonts w:asciiTheme="majorBidi" w:hAnsiTheme="majorBidi" w:cstheme="majorBidi"/>
          <w:sz w:val="28"/>
          <w:szCs w:val="28"/>
          <w:rtl/>
        </w:rPr>
        <w:t>ان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يكون هنالك تسرب منها .</w:t>
      </w:r>
    </w:p>
    <w:p w:rsidR="004F012E" w:rsidRDefault="004F012E" w:rsidP="004F012E">
      <w:pPr>
        <w:pStyle w:val="a3"/>
        <w:numPr>
          <w:ilvl w:val="0"/>
          <w:numId w:val="4"/>
        </w:numPr>
        <w:spacing w:after="16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لابد من وجود احتياطي نقدي مطلوب باتجاه الودائع </w:t>
      </w:r>
    </w:p>
    <w:p w:rsidR="004F012E" w:rsidRDefault="004F012E" w:rsidP="004F012E">
      <w:pPr>
        <w:pStyle w:val="a3"/>
        <w:numPr>
          <w:ilvl w:val="0"/>
          <w:numId w:val="4"/>
        </w:numPr>
        <w:spacing w:after="16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حجم الوديعة </w:t>
      </w:r>
      <w:proofErr w:type="spellStart"/>
      <w:r>
        <w:rPr>
          <w:rFonts w:asciiTheme="majorBidi" w:hAnsiTheme="majorBidi" w:cstheme="majorBidi"/>
          <w:sz w:val="28"/>
          <w:szCs w:val="28"/>
          <w:rtl/>
        </w:rPr>
        <w:t>الاولية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يمثل نقطة الانطلاق في التوسع المضاعف للودائع </w:t>
      </w:r>
    </w:p>
    <w:p w:rsidR="004F012E" w:rsidRDefault="004F012E" w:rsidP="004F012E">
      <w:pPr>
        <w:pStyle w:val="a3"/>
        <w:numPr>
          <w:ilvl w:val="0"/>
          <w:numId w:val="4"/>
        </w:numPr>
        <w:spacing w:after="16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تعامل الوحدات الاقتصادية المقترضة مع جميع مصارف الجهاز المصرفي التجاري </w:t>
      </w:r>
    </w:p>
    <w:p w:rsidR="004F012E" w:rsidRDefault="004F012E" w:rsidP="004F012E">
      <w:pPr>
        <w:pStyle w:val="a3"/>
        <w:numPr>
          <w:ilvl w:val="0"/>
          <w:numId w:val="4"/>
        </w:numPr>
        <w:spacing w:after="160"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المبلغ يجب </w:t>
      </w:r>
      <w:proofErr w:type="spellStart"/>
      <w:r>
        <w:rPr>
          <w:rFonts w:asciiTheme="majorBidi" w:hAnsiTheme="majorBidi" w:cstheme="majorBidi"/>
          <w:sz w:val="28"/>
          <w:szCs w:val="28"/>
          <w:rtl/>
        </w:rPr>
        <w:t>ان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يسحب بالكامل من البنك المقرض </w:t>
      </w:r>
    </w:p>
    <w:p w:rsidR="004F012E" w:rsidRDefault="004F012E" w:rsidP="004F012E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مثال : وديعة </w:t>
      </w:r>
      <w:proofErr w:type="spellStart"/>
      <w:r>
        <w:rPr>
          <w:rFonts w:asciiTheme="majorBidi" w:hAnsiTheme="majorBidi" w:cstheme="majorBidi"/>
          <w:sz w:val="28"/>
          <w:szCs w:val="28"/>
          <w:rtl/>
        </w:rPr>
        <w:t>اوليه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مقدارها </w:t>
      </w:r>
      <w:r>
        <w:rPr>
          <w:rFonts w:asciiTheme="majorBidi" w:hAnsiTheme="majorBidi" w:cstheme="majorBidi"/>
          <w:sz w:val="28"/>
          <w:szCs w:val="28"/>
        </w:rPr>
        <w:t>100</w:t>
      </w:r>
      <w:r>
        <w:rPr>
          <w:rFonts w:asciiTheme="majorBidi" w:hAnsiTheme="majorBidi" w:cstheme="majorBidi"/>
          <w:sz w:val="28"/>
          <w:szCs w:val="28"/>
          <w:rtl/>
        </w:rPr>
        <w:t xml:space="preserve">$ حدد </w:t>
      </w:r>
      <w:proofErr w:type="spellStart"/>
      <w:r>
        <w:rPr>
          <w:rFonts w:asciiTheme="majorBidi" w:hAnsiTheme="majorBidi" w:cstheme="majorBidi"/>
          <w:sz w:val="28"/>
          <w:szCs w:val="28"/>
          <w:rtl/>
        </w:rPr>
        <w:t>امكانية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التوسع المضاعف فيها لدى الجهاز المصرفي التجاري بافتراض احتياطي قانوني </w:t>
      </w:r>
      <w:r>
        <w:rPr>
          <w:rFonts w:asciiTheme="majorBidi" w:hAnsiTheme="majorBidi" w:cstheme="majorBidi"/>
          <w:sz w:val="28"/>
          <w:szCs w:val="28"/>
          <w:lang w:bidi="ar-IQ"/>
        </w:rPr>
        <w:t>0.20</w:t>
      </w:r>
    </w:p>
    <w:p w:rsidR="004F012E" w:rsidRDefault="004F012E" w:rsidP="004F012E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الحل :</w:t>
      </w:r>
    </w:p>
    <w:tbl>
      <w:tblPr>
        <w:tblStyle w:val="a5"/>
        <w:bidiVisual/>
        <w:tblW w:w="9690" w:type="dxa"/>
        <w:tblInd w:w="0" w:type="dxa"/>
        <w:tblLook w:val="04A0"/>
      </w:tblPr>
      <w:tblGrid>
        <w:gridCol w:w="901"/>
        <w:gridCol w:w="3359"/>
        <w:gridCol w:w="2311"/>
        <w:gridCol w:w="3119"/>
      </w:tblGrid>
      <w:tr w:rsidR="004F012E" w:rsidTr="004F012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البنوك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الاحتياطات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الاولية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ودائع جديدة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الاحتياطي القانوني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القروض ( ودائع جارية )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80 %</w:t>
            </w:r>
          </w:p>
        </w:tc>
      </w:tr>
      <w:tr w:rsidR="004F012E" w:rsidTr="004F012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100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80</w:t>
            </w:r>
          </w:p>
        </w:tc>
      </w:tr>
      <w:tr w:rsidR="004F012E" w:rsidTr="004F012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80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64</w:t>
            </w:r>
          </w:p>
        </w:tc>
      </w:tr>
      <w:tr w:rsidR="004F012E" w:rsidTr="004F012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64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12.8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51.2</w:t>
            </w:r>
          </w:p>
        </w:tc>
      </w:tr>
      <w:tr w:rsidR="004F012E" w:rsidTr="004F012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51.2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10.24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40.96</w:t>
            </w:r>
          </w:p>
        </w:tc>
      </w:tr>
      <w:tr w:rsidR="004F012E" w:rsidTr="004F012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6.8pt;margin-top:18.6pt;width:0;height:30pt;z-index:251658240;mso-position-horizontal-relative:text;mso-position-vertical-relative:text" o:connectortype="straight">
                  <v:stroke endarrow="block"/>
                  <w10:wrap anchorx="page"/>
                </v:shape>
              </w:pic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40.96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8.19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tl/>
              </w:rPr>
              <w:pict>
                <v:shape id="_x0000_s1028" type="#_x0000_t32" style="position:absolute;left:0;text-align:left;margin-left:129.65pt;margin-top:18.6pt;width:1.5pt;height:35.25pt;flip:x;z-index:25165824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32.77</w:t>
            </w:r>
          </w:p>
        </w:tc>
      </w:tr>
      <w:tr w:rsidR="004F012E" w:rsidTr="004F012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tl/>
              </w:rPr>
              <w:pict>
                <v:shape id="_x0000_s1026" type="#_x0000_t32" style="position:absolute;left:0;text-align:left;margin-left:16.75pt;margin-top:3.1pt;width:.05pt;height:.05pt;z-index:251658240;mso-position-horizontal-relative:text;mso-position-vertical-relative:text" o:connectortype="straight">
                  <v:stroke endarrow="block"/>
                  <w10:wrap anchorx="page"/>
                </v:shape>
              </w:pic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F012E" w:rsidTr="004F012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E" w:rsidRDefault="004F012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F012E" w:rsidTr="004F012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F012E" w:rsidTr="004F012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F012E" w:rsidTr="004F012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مجموع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500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E" w:rsidRDefault="004F012E">
            <w:pPr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400</w:t>
            </w:r>
          </w:p>
        </w:tc>
      </w:tr>
    </w:tbl>
    <w:p w:rsidR="004F012E" w:rsidRDefault="004F012E" w:rsidP="004F012E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4F012E" w:rsidRDefault="004F012E" w:rsidP="004F012E">
      <w:pPr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وهكذا كل الوديعة </w:t>
      </w:r>
      <w:proofErr w:type="spellStart"/>
      <w:r>
        <w:rPr>
          <w:rFonts w:asciiTheme="majorBidi" w:hAnsiTheme="majorBidi" w:cstheme="majorBidi"/>
          <w:sz w:val="28"/>
          <w:szCs w:val="28"/>
          <w:rtl/>
        </w:rPr>
        <w:t>الاولية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rtl/>
        </w:rPr>
        <w:t>اصبحت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احتياطات جزئية وان الودائع تضاعفت </w:t>
      </w:r>
      <w:proofErr w:type="spellStart"/>
      <w:r>
        <w:rPr>
          <w:rFonts w:asciiTheme="majorBidi" w:hAnsiTheme="majorBidi" w:cstheme="majorBidi"/>
          <w:sz w:val="28"/>
          <w:szCs w:val="28"/>
          <w:rtl/>
        </w:rPr>
        <w:t>الى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400 $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</w:rPr>
      </w:pPr>
      <w:proofErr w:type="spellStart"/>
      <w:r>
        <w:rPr>
          <w:rFonts w:asciiTheme="majorBidi" w:hAnsiTheme="majorBidi" w:cstheme="majorBidi"/>
          <w:sz w:val="28"/>
          <w:szCs w:val="28"/>
          <w:rtl/>
        </w:rPr>
        <w:t>او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مقدار التغير في الودائع = التغير في الاحتياطات </w:t>
      </w:r>
      <w:proofErr w:type="spellStart"/>
      <w:r>
        <w:rPr>
          <w:rFonts w:asciiTheme="majorBidi" w:hAnsiTheme="majorBidi" w:cstheme="majorBidi"/>
          <w:sz w:val="28"/>
          <w:szCs w:val="28"/>
          <w:rtl/>
        </w:rPr>
        <w:t>الاولية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* 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rtl/>
              </w:rPr>
              <m:t>ح</m:t>
            </m:r>
          </m:den>
        </m:f>
      </m:oMath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</w:rPr>
        <w:t xml:space="preserve">=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100 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×</w:t>
      </w:r>
      <m:oMath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0.20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=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500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R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: الاحتياطات الأولية (النقدية) لدى الجهاز المصرفي التجاري 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Rd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: نسبة الاحتياطي القانوني المطلوب اتجاه الودائع الجارية (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DD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) 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R =C +DD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R = rd  DD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lastRenderedPageBreak/>
        <w:t xml:space="preserve">DD= </w:t>
      </w:r>
      <m:oMath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rd</m:t>
            </m:r>
          </m:den>
        </m:f>
      </m:oMath>
    </w:p>
    <w:p w:rsidR="004F012E" w:rsidRDefault="004F012E" w:rsidP="004F012E">
      <w:pPr>
        <w:tabs>
          <w:tab w:val="left" w:pos="1755"/>
        </w:tabs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pict>
          <v:shape id="_x0000_s1029" type="#_x0000_t32" style="position:absolute;left:0;text-align:left;margin-left:232.5pt;margin-top:15.05pt;width:12pt;height:.75pt;flip:x;z-index:251658240" o:connectortype="straight">
            <v:stroke endarrow="block"/>
            <w10:wrap anchorx="page"/>
          </v:shape>
        </w:pic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DD= </w:t>
      </w:r>
      <m:oMath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rd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R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ab/>
      </w:r>
      <w:r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     مضاعف الودائع             </w:t>
      </w:r>
      <m:oMath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rd</m:t>
            </m:r>
          </m:den>
        </m:f>
      </m:oMath>
    </w:p>
    <w:p w:rsidR="004F012E" w:rsidRDefault="004F012E" w:rsidP="004F012E">
      <w:pPr>
        <w:tabs>
          <w:tab w:val="left" w:pos="1755"/>
        </w:tabs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وعليه </w:t>
      </w:r>
      <m:oMath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rd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 مقلوب الاحتياطي القانوني المطلوب </w:t>
      </w:r>
    </w:p>
    <w:p w:rsidR="004F012E" w:rsidRDefault="004F012E" w:rsidP="004F012E">
      <w:pPr>
        <w:tabs>
          <w:tab w:val="left" w:pos="1755"/>
        </w:tabs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اتجاه الودائع الجارية (هو ما يعرف بمضاعف الائتمان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Deposit Expansion multiplier 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)</w:t>
      </w:r>
    </w:p>
    <w:p w:rsidR="004F012E" w:rsidRDefault="004F012E" w:rsidP="004F012E">
      <w:pPr>
        <w:pStyle w:val="a3"/>
        <w:numPr>
          <w:ilvl w:val="0"/>
          <w:numId w:val="5"/>
        </w:numPr>
        <w:tabs>
          <w:tab w:val="left" w:pos="1755"/>
        </w:tabs>
        <w:spacing w:after="160"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مضاعف الائتمان : قدرة البنوك التجارية على التوسع المضاعف في خلق الودائع الجديدة التي هي معكوس نسبة الاحتياطي القانوني وبإدخال التغير 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</m:t>
        </m:r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DD</m:t>
        </m:r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Theme="majorBidi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rd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.</m:t>
        </m:r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>∆</m:t>
        </m:r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 xml:space="preserve"> </m:t>
        </m:r>
      </m:oMath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أي ان التغير في الودائع الجارية = مضاعف الائتمان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*التغير في الاحتياطات النقدية الأولية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هنا الوديعة الأولية تمثل الاحتياطات الأولية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وفي حالة ثبات الاحتياطات الأولية وتغير الاحتياطي القانوني فان مقدار التغير في الاحتياطي النقدي مضروبا في الاحتياطات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الأوليةاي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:-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∆DD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(</m:t>
          </m:r>
          <m:f>
            <m:fPr>
              <m:ctrl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rd</m:t>
              </m:r>
            </m:den>
          </m:f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.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R</m:t>
          </m:r>
        </m:oMath>
      </m:oMathPara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وعلى افتراض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اننا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قمنا بإيداع وديعة أولية لدى مصرف تجاري مقدارها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100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وحدة نقدية وباحتياطي قانوني مقداره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0.20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فانه مضاعف الائتمان (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E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) والتوسع الأقصى في الودائع الجارية هو 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E= </w:t>
      </w:r>
      <m:oMath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rd</m:t>
            </m:r>
          </m:den>
        </m:f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= </m:t>
        </m:r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0.20</m:t>
            </m:r>
          </m:den>
        </m:f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=5</m:t>
        </m:r>
      </m:oMath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∆DD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=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E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. 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∆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= 5 × 100 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= 500 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أي بمعنى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اننا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لا نستطيع التوسع بعد هذا الحد في منح الائتمان وبالتالي فانا وصلنا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الى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مرحلة التوسع الأقصى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او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الكلي في الودائع الجارية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اذ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اننا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لا نستطيع التوسع بعد هذا الحد لان الاحتياطي النقدي المطلوب الجزئي قد استوعب جميع الاحتياطي النقدي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الاولي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لدى الجهاز المصرفي التجاري وللبرهنة على ذلك يجب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يكون الاحتياطي المطلوب تجاه الودائع مساويا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الى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الاحتياطات الأولية (الوديعة الأولية =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100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) أي: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R= rd .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DD</m:t>
        </m:r>
      </m:oMath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=0.20 × 500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= 100 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lastRenderedPageBreak/>
        <w:t xml:space="preserve">وطالما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اصبح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حجم الاحتياطات الأولية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100 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في حين التغير في الودائع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500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اذن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السؤال يكون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ماهو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حجم القروض التي يستطيع منحها البنك التجاري ؟؟؟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اذن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الودائع الجارية الجديدة = مجموع الزيادة في الودائع الجارية – الاحتياطات الأولية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                              =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500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–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100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                           =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400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أي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اننا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نستطيع منح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400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دولار لان الوديعة الأولية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100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أصبحت كلها احتياطات أولية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وعليه فان مقدرة الجهاز المصرفي التجاري على مضاعفة خلق الودائع تتوقف على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rd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وتتناسب عكسيا معه 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وبالعودة مرة أخرى للوديعة الأولية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100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فان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الافراد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قد يغيرون سلوكهم في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الإيداعأي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بدلا من إيداع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100 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دولار كلها في المصرف التجاري على شكل وديعة جارية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فانهم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يحتفظون بجزء من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ال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100 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على شكل ودائع زمنية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TO 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كنسبة من الودائع الجارية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DD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أي . 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TD =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fcDD</w:t>
      </w:r>
      <w:proofErr w:type="spellEnd"/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a= </w:t>
      </w:r>
      <m:oMath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TD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DD</m:t>
            </m:r>
          </m:den>
        </m:f>
      </m:oMath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TD = a DD 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∆TD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</m:oMath>
      </m:oMathPara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a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: نسبة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مايرغب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به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الافراد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الاحتفاظ من الودائع الجارية بصورة ودائع زمنية 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والمقدار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a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يتاثربحجم</w:t>
      </w:r>
      <w:proofErr w:type="spellEnd"/>
      <w:r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 العائد عن العوائد الزمنية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TD 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تحتفظ البنوك التجارية باحتياطات نقدية تجاه الودائع الزمنية مقدارها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rt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وهذه تمثل نسبة من الودائع الزمنية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,TD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وبذلك ينشا قيدا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اخر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على البنوك التجارية في التوسع المضاعف في الائتمان ومعنى ذلك انه سيسحب من الوديعة احتياطيين الأول تجاه الودائع الجارية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rd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الثاني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rt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تجاه الودائع الزمنية 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R= rd DD +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rt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TD 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∆R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rd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rt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</m:oMath>
      </m:oMathPara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∆TD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a∆DD</m:t>
          </m:r>
        </m:oMath>
      </m:oMathPara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∴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R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rd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rt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</m:oMath>
      </m:oMathPara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∆R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= 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  <m:d>
            <m:dPr>
              <m:ctrl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rd</m:t>
              </m:r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rt</m:t>
              </m:r>
            </m:e>
          </m:d>
        </m:oMath>
      </m:oMathPara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Or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∆DD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rd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art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.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∆R</m:t>
        </m:r>
      </m:oMath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lastRenderedPageBreak/>
        <w:t xml:space="preserve">وتعني هذه المعادلة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التغير في الودائع الجارية = مضاعف الائتمان × التغير في الاحتياطات الأولية وبافتراض 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∆R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=100 </m:t>
          </m:r>
        </m:oMath>
      </m:oMathPara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Rd = 0.20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rt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= 0.05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a = 0.40 </w:t>
      </w:r>
      <w:r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نسبة ما يحتفظ </w:t>
      </w:r>
      <w:proofErr w:type="spellStart"/>
      <w:r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به</w:t>
      </w:r>
      <w:proofErr w:type="spellEnd"/>
      <w:r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>الافراد</w:t>
      </w:r>
      <w:proofErr w:type="spellEnd"/>
      <w:r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 من الودائع الجارية كودائع زمنية                               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</w:pP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∴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  <m:t>0.20+(040</m:t>
              </m:r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  <m:t>×</m:t>
              </m:r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  <m:t>0.05)</m:t>
              </m:r>
            </m:den>
          </m:f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×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100</m:t>
          </m:r>
        </m:oMath>
      </m:oMathPara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  = 4.54 </w:t>
      </w:r>
      <m:oMath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×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100</m:t>
        </m:r>
      </m:oMath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   = 454.55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ونلاحظ هنا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المضاعف انخفض والتغير في الودائع انخفض أيضا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∴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TD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.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</m:oMath>
      </m:oMathPara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    =0.40 </w:t>
      </w:r>
      <m:oMath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×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454.55</m:t>
        </m:r>
      </m:oMath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    = 181.82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واذا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ما حاولنا إيجاد التغير الكلي في الودائع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AD 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∆AD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TD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</m:oMath>
      </m:oMathPara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= 454.55 +181.82 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= 636.37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وقد يحتفظ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الافراد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بنسب معينة من الودائع الجارية على شكل نقود قانونية تحسبا لطارئ معين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او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لأغراض المعاملات اليومية وهذا يعتبر تسرب نقدي خارج البنوك التجارية 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واذا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ما رمزنا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الى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النسبة التي يرغب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الافراد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الاحتفاظ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بها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من الوديعة الجارية بصورة عمل بالرمز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b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فان :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حيث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b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ذلك الجزء من الودائع الجارية المحتفظ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به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بشكل عملة      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b= </w:t>
      </w:r>
      <m:oMath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DD</m:t>
            </m:r>
          </m:den>
        </m:f>
      </m:oMath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C= b</w:t>
      </w:r>
      <m:oMath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×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DD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 </m:t>
        </m:r>
      </m:oMath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∆c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b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×∆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</m:oMath>
      </m:oMathPara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وبهذا سيخصص جزء من الاحتياطات الأولية النقدية لمواجهة السحوبات على العملة 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w:lastRenderedPageBreak/>
            <m:t>∴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R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rd∆DD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rt∆DD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C</m:t>
          </m:r>
        </m:oMath>
      </m:oMathPara>
    </w:p>
    <w:p w:rsidR="004F012E" w:rsidRDefault="004F012E" w:rsidP="004F012E">
      <w:pPr>
        <w:bidi w:val="0"/>
        <w:spacing w:line="240" w:lineRule="auto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= rd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∆DD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rt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∆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DD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b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∆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DD</m:t>
        </m:r>
      </m:oMath>
    </w:p>
    <w:p w:rsidR="004F012E" w:rsidRDefault="004F012E" w:rsidP="004F012E">
      <w:pPr>
        <w:bidi w:val="0"/>
        <w:spacing w:line="240" w:lineRule="auto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=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∆DD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 (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rd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a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rt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+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b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)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∆DD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rd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rt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R 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b</w:t>
      </w:r>
      <w:r>
        <w:rPr>
          <w:rFonts w:asciiTheme="majorBidi" w:eastAsiaTheme="minorEastAsia" w:hAnsiTheme="majorBidi" w:cstheme="majorBidi" w:hint="cs"/>
          <w:sz w:val="28"/>
          <w:szCs w:val="28"/>
          <w:rtl/>
          <w:lang w:bidi="ar-IQ"/>
        </w:rPr>
        <w:t xml:space="preserve">=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0.18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∆DD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= </m:t>
          </m:r>
          <m:f>
            <m:fPr>
              <m:ctrl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  <m:t>0.20+</m:t>
              </m:r>
              <m:d>
                <m:dPr>
                  <m:ctrlPr>
                    <w:rPr>
                      <w:rFonts w:ascii="Cambria Math" w:eastAsiaTheme="minorEastAsia" w:hAnsiTheme="majorBidi" w:cstheme="majorBidi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Theme="majorBidi" w:cstheme="majorBidi"/>
                      <w:sz w:val="28"/>
                      <w:szCs w:val="28"/>
                      <w:lang w:bidi="ar-IQ"/>
                    </w:rPr>
                    <m:t>0.40</m:t>
                  </m:r>
                  <m:r>
                    <m:rPr>
                      <m:sty m:val="p"/>
                    </m:rPr>
                    <w:rPr>
                      <w:rFonts w:ascii="Cambria Math" w:eastAsiaTheme="minorEastAsia" w:hAnsiTheme="majorBidi" w:cstheme="majorBidi"/>
                      <w:sz w:val="28"/>
                      <w:szCs w:val="28"/>
                      <w:lang w:bidi="ar-IQ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EastAsia" w:hAnsiTheme="majorBidi" w:cstheme="majorBidi"/>
                      <w:sz w:val="28"/>
                      <w:szCs w:val="28"/>
                      <w:lang w:bidi="ar-IQ"/>
                    </w:rPr>
                    <m:t>0.05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  <m:t>+0.18</m:t>
              </m:r>
            </m:den>
          </m:f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×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100</m:t>
          </m:r>
        </m:oMath>
      </m:oMathPara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=</w:t>
      </w:r>
      <m:oMath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0.4</m:t>
            </m:r>
          </m:den>
        </m:f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×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100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=2.5</w:t>
      </w:r>
      <m:oMath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×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100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=250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وبالتالي نستطيع احتساب مقدار التغير في الودائع الزمنية 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∆TD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a∆DD</m:t>
          </m:r>
        </m:oMath>
      </m:oMathPara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= 0.40</w:t>
      </w:r>
      <m:oMath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×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250</m:t>
        </m:r>
      </m:oMath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=100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مقدار التوسع في الودائع الزمنية +الجارية 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TD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</m:oMath>
      </m:oMathPara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= 250 +100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=350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قد تحتفظ البنوك التجارية باحتياطات فائضة خارج الاحتياطات القانونية المخصصة لمواجهة السحوبات المفاجئة للعملاء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اذ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أسباب الاحتفاظ بجزء من الودائع كاحتياطات فائضة متعددة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واهمها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:-</w:t>
      </w:r>
    </w:p>
    <w:p w:rsidR="004F012E" w:rsidRDefault="004F012E" w:rsidP="004F012E">
      <w:pPr>
        <w:pStyle w:val="a3"/>
        <w:numPr>
          <w:ilvl w:val="0"/>
          <w:numId w:val="6"/>
        </w:numPr>
        <w:spacing w:after="160"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عندما ينخفض معدل الفائدة على القروض بمعدل اقل من تكلفة الإقراض من البنك المركزي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او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السوق النقدية </w:t>
      </w:r>
    </w:p>
    <w:p w:rsidR="004F012E" w:rsidRDefault="004F012E" w:rsidP="004F012E">
      <w:pPr>
        <w:pStyle w:val="a3"/>
        <w:numPr>
          <w:ilvl w:val="0"/>
          <w:numId w:val="6"/>
        </w:numPr>
        <w:spacing w:after="160"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حالات المخاطرة العالية تتجنب البنوك الخوض في الاستثمار في مثل هذه الظروف </w:t>
      </w:r>
    </w:p>
    <w:p w:rsidR="004F012E" w:rsidRDefault="004F012E" w:rsidP="004F012E">
      <w:pPr>
        <w:pStyle w:val="a3"/>
        <w:numPr>
          <w:ilvl w:val="0"/>
          <w:numId w:val="6"/>
        </w:numPr>
        <w:spacing w:after="160"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توقع البنوك التجارية السحب على الودائع بصورة مفاجئة وكبيرة 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وعندئذ لابد من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ادخال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تلك الاحتياطات (الاحتياطات الفائضة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ER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) والتي لابد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تمثل نسبة معينة من الودائع الجارية ولتكن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e 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.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ER= e DD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∆ER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e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</m:oMath>
      </m:oMathPara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∴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R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rd∆DD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rt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TD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C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e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</m:oMath>
      </m:oMathPara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w:lastRenderedPageBreak/>
            <m:t>∆R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rd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art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b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e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</m:oMath>
      </m:oMathPara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∆R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(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rd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art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b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e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)</m:t>
          </m:r>
        </m:oMath>
      </m:oMathPara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Or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∆DD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rd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art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den>
        </m:f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 .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∆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والكسر بأكمله يمثل مضاعف الودائع                                   </w:t>
      </w:r>
    </w:p>
    <w:p w:rsidR="004F012E" w:rsidRDefault="004F012E" w:rsidP="004F012E">
      <w:pPr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واذا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افترضنا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e=0.10</w:t>
      </w: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فان:-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∆DD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  <m:t>0.20+</m:t>
              </m:r>
              <m:d>
                <m:dPr>
                  <m:ctrlPr>
                    <w:rPr>
                      <w:rFonts w:ascii="Cambria Math" w:eastAsiaTheme="minorEastAsia" w:hAnsiTheme="majorBidi" w:cstheme="majorBidi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Theme="majorBidi" w:cstheme="majorBidi"/>
                      <w:sz w:val="28"/>
                      <w:szCs w:val="28"/>
                      <w:lang w:bidi="ar-IQ"/>
                    </w:rPr>
                    <m:t>0.40</m:t>
                  </m:r>
                  <m:r>
                    <m:rPr>
                      <m:sty m:val="p"/>
                    </m:rPr>
                    <w:rPr>
                      <w:rFonts w:ascii="Cambria Math" w:eastAsiaTheme="minorEastAsia" w:hAnsiTheme="majorBidi" w:cstheme="majorBidi"/>
                      <w:sz w:val="28"/>
                      <w:szCs w:val="28"/>
                      <w:lang w:bidi="ar-IQ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EastAsia" w:hAnsiTheme="majorBidi" w:cstheme="majorBidi"/>
                      <w:sz w:val="28"/>
                      <w:szCs w:val="28"/>
                      <w:lang w:bidi="ar-IQ"/>
                    </w:rPr>
                    <m:t>0.05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8"/>
                  <w:szCs w:val="28"/>
                  <w:lang w:bidi="ar-IQ"/>
                </w:rPr>
                <m:t>+0.18+0.10</m:t>
              </m:r>
            </m:den>
          </m:f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×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100</m:t>
          </m:r>
        </m:oMath>
      </m:oMathPara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 =</w:t>
      </w:r>
      <m:oMath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0.50</m:t>
            </m:r>
          </m:den>
        </m:f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×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100=200</m:t>
        </m:r>
      </m:oMath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∴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TD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a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.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</m:oMath>
      </m:oMathPara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    = 0.40 ×200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   =80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∆AD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DD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+</m:t>
          </m:r>
          <m:r>
            <m:rPr>
              <m:sty m:val="p"/>
            </m:rPr>
            <w:rPr>
              <w:rFonts w:ascii="Cambria Math" w:eastAsiaTheme="minorEastAsia" w:hAnsiTheme="majorBidi" w:cstheme="majorBidi"/>
              <w:sz w:val="28"/>
              <w:szCs w:val="28"/>
              <w:lang w:bidi="ar-IQ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TD</m:t>
          </m:r>
        </m:oMath>
      </m:oMathPara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=200+80   =280</w:t>
      </w:r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 xml:space="preserve">  ويمكن استخدام الصيغة التالية لمعرفة حجم التغير على الودائع الكلية  :-                 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∆AD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=</w:t>
      </w:r>
      <m:oMath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rd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art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e</m:t>
            </m:r>
          </m:den>
        </m:f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×∆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=</w:t>
      </w:r>
      <m:oMath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1+0.40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0.50</m:t>
            </m:r>
          </m:den>
        </m:f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×∆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</w:p>
    <w:p w:rsidR="004F012E" w:rsidRDefault="004F012E" w:rsidP="004F012E">
      <w:pPr>
        <w:bidi w:val="0"/>
        <w:spacing w:line="240" w:lineRule="auto"/>
        <w:jc w:val="lowKashida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=</w:t>
      </w:r>
      <m:oMath>
        <m:f>
          <m:fPr>
            <m:ctrl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1.40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8"/>
                <w:szCs w:val="28"/>
                <w:lang w:bidi="ar-IQ"/>
              </w:rPr>
              <m:t>0.50</m:t>
            </m:r>
          </m:den>
        </m:f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×</m:t>
        </m:r>
        <m:r>
          <m:rPr>
            <m:sty m:val="p"/>
          </m:rPr>
          <w:rPr>
            <w:rFonts w:ascii="Cambria Math" w:eastAsiaTheme="minorEastAsia" w:hAnsiTheme="majorBidi" w:cstheme="majorBidi"/>
            <w:sz w:val="28"/>
            <w:szCs w:val="28"/>
            <w:lang w:bidi="ar-IQ"/>
          </w:rPr>
          <m:t>100=280</m:t>
        </m:r>
      </m:oMath>
    </w:p>
    <w:p w:rsidR="00BE1B3A" w:rsidRDefault="00BE1B3A" w:rsidP="004F012E">
      <w:pPr>
        <w:spacing w:line="360" w:lineRule="auto"/>
        <w:jc w:val="both"/>
        <w:rPr>
          <w:lang w:bidi="ar-IQ"/>
        </w:rPr>
      </w:pPr>
    </w:p>
    <w:sectPr w:rsidR="00BE1B3A" w:rsidSect="003F6D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65C"/>
    <w:multiLevelType w:val="hybridMultilevel"/>
    <w:tmpl w:val="37ECB39E"/>
    <w:lvl w:ilvl="0" w:tplc="8F0AD7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45932"/>
    <w:multiLevelType w:val="hybridMultilevel"/>
    <w:tmpl w:val="E8EC45EE"/>
    <w:lvl w:ilvl="0" w:tplc="38E8AA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5476B"/>
    <w:multiLevelType w:val="hybridMultilevel"/>
    <w:tmpl w:val="7BBC5294"/>
    <w:lvl w:ilvl="0" w:tplc="A5C4D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42D3C"/>
    <w:multiLevelType w:val="hybridMultilevel"/>
    <w:tmpl w:val="43E8B1C2"/>
    <w:lvl w:ilvl="0" w:tplc="B56688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549C1"/>
    <w:multiLevelType w:val="hybridMultilevel"/>
    <w:tmpl w:val="DE4CC8F2"/>
    <w:lvl w:ilvl="0" w:tplc="7EBC88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50DED"/>
    <w:multiLevelType w:val="hybridMultilevel"/>
    <w:tmpl w:val="F56277C4"/>
    <w:lvl w:ilvl="0" w:tplc="30CA216A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E1B3A"/>
    <w:rsid w:val="003F6D8C"/>
    <w:rsid w:val="004F012E"/>
    <w:rsid w:val="00A207C0"/>
    <w:rsid w:val="00AC4612"/>
    <w:rsid w:val="00BE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B3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E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E1B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F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2016-02-05T17:17:00Z</dcterms:created>
  <dcterms:modified xsi:type="dcterms:W3CDTF">2018-03-12T19:41:00Z</dcterms:modified>
</cp:coreProperties>
</file>