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E9" w:rsidRDefault="006951FD" w:rsidP="00157AE9">
      <w:pPr>
        <w:rPr>
          <w:rFonts w:ascii="Arial" w:hAnsi="Arial" w:cs="Arial"/>
          <w:color w:val="666666"/>
          <w:sz w:val="28"/>
          <w:szCs w:val="28"/>
          <w:rtl/>
        </w:rPr>
      </w:pPr>
      <w:r w:rsidRPr="006951FD">
        <w:rPr>
          <w:rFonts w:ascii="Arial" w:hAnsi="Arial" w:cs="Arial"/>
          <w:color w:val="666666"/>
          <w:sz w:val="28"/>
          <w:szCs w:val="28"/>
          <w:rtl/>
        </w:rPr>
        <w:t>صلاحيات الجهات المخولة بتطبيق قانون تحصيل الديون الحكومية</w:t>
      </w:r>
      <w:r w:rsidR="00EA4DAC">
        <w:rPr>
          <w:rFonts w:ascii="Arial" w:hAnsi="Arial" w:cs="Arial" w:hint="cs"/>
          <w:color w:val="666666"/>
          <w:sz w:val="28"/>
          <w:szCs w:val="28"/>
          <w:rtl/>
        </w:rPr>
        <w:t>1</w:t>
      </w:r>
      <w:r w:rsidRPr="006951FD">
        <w:rPr>
          <w:rFonts w:ascii="Arial" w:hAnsi="Arial" w:cs="Arial"/>
          <w:color w:val="666666"/>
          <w:sz w:val="28"/>
          <w:szCs w:val="28"/>
          <w:rtl/>
        </w:rPr>
        <w:t>.</w:t>
      </w:r>
      <w:r w:rsidR="00157AE9">
        <w:rPr>
          <w:rFonts w:ascii="Arial" w:hAnsi="Arial" w:cs="Arial" w:hint="cs"/>
          <w:color w:val="666666"/>
          <w:sz w:val="28"/>
          <w:szCs w:val="28"/>
          <w:rtl/>
        </w:rPr>
        <w:t xml:space="preserve"> </w:t>
      </w:r>
    </w:p>
    <w:p w:rsidR="002D637F" w:rsidRDefault="00157AE9" w:rsidP="00157AE9">
      <w:pPr>
        <w:spacing w:after="360" w:line="240" w:lineRule="auto"/>
        <w:rPr>
          <w:rFonts w:ascii="Helvetica" w:eastAsia="Times New Roman" w:hAnsi="Helvetica" w:cs="Helvetica" w:hint="cs"/>
          <w:color w:val="444444"/>
          <w:sz w:val="27"/>
          <w:szCs w:val="27"/>
          <w:rtl/>
          <w:lang w:bidi="ar"/>
        </w:rPr>
      </w:pPr>
      <w:r>
        <w:rPr>
          <w:rFonts w:ascii="Helvetica" w:eastAsia="Times New Roman" w:hAnsi="Helvetica" w:cs="Times New Roman" w:hint="cs"/>
          <w:color w:val="444444"/>
          <w:sz w:val="27"/>
          <w:szCs w:val="27"/>
          <w:rtl/>
          <w:lang w:bidi="ar"/>
        </w:rPr>
        <w:t>نصت ال</w:t>
      </w:r>
      <w:r w:rsidRPr="00BA4A41">
        <w:rPr>
          <w:rFonts w:ascii="Helvetica" w:eastAsia="Times New Roman" w:hAnsi="Helvetica" w:cs="Times New Roman"/>
          <w:color w:val="444444"/>
          <w:sz w:val="27"/>
          <w:szCs w:val="27"/>
          <w:rtl/>
          <w:lang w:bidi="ar"/>
        </w:rPr>
        <w:t xml:space="preserve">مادة </w:t>
      </w:r>
      <w:r w:rsidRPr="00BA4A41">
        <w:rPr>
          <w:rFonts w:ascii="Helvetica" w:eastAsia="Times New Roman" w:hAnsi="Helvetica" w:cs="Helvetica"/>
          <w:color w:val="444444"/>
          <w:sz w:val="27"/>
          <w:szCs w:val="27"/>
          <w:rtl/>
          <w:lang w:bidi="ar"/>
        </w:rPr>
        <w:t>2</w:t>
      </w:r>
      <w:r>
        <w:rPr>
          <w:rFonts w:ascii="Helvetica" w:eastAsia="Times New Roman" w:hAnsi="Helvetica" w:cs="Helvetica" w:hint="cs"/>
          <w:color w:val="444444"/>
          <w:sz w:val="27"/>
          <w:szCs w:val="27"/>
          <w:rtl/>
          <w:lang w:bidi="ar"/>
        </w:rPr>
        <w:t xml:space="preserve">من قانون تحصيل الديون الحكومية </w:t>
      </w:r>
      <w:r w:rsidRPr="00157AE9">
        <w:rPr>
          <w:rFonts w:ascii="Helvetica" w:eastAsia="Times New Roman" w:hAnsi="Helvetica" w:cs="Times New Roman"/>
          <w:color w:val="444444"/>
          <w:sz w:val="27"/>
          <w:szCs w:val="27"/>
          <w:rtl/>
          <w:lang w:bidi="ar"/>
        </w:rPr>
        <w:t xml:space="preserve"> </w:t>
      </w:r>
      <w:r w:rsidRPr="00BA4A41">
        <w:rPr>
          <w:rFonts w:ascii="Helvetica" w:eastAsia="Times New Roman" w:hAnsi="Helvetica" w:cs="Times New Roman"/>
          <w:color w:val="444444"/>
          <w:sz w:val="27"/>
          <w:szCs w:val="27"/>
          <w:rtl/>
          <w:lang w:bidi="ar"/>
        </w:rPr>
        <w:t xml:space="preserve">رقم </w:t>
      </w:r>
      <w:r w:rsidRPr="00BA4A41">
        <w:rPr>
          <w:rFonts w:ascii="Helvetica" w:eastAsia="Times New Roman" w:hAnsi="Helvetica" w:cs="Helvetica"/>
          <w:color w:val="444444"/>
          <w:sz w:val="27"/>
          <w:szCs w:val="27"/>
          <w:rtl/>
          <w:lang w:bidi="ar"/>
        </w:rPr>
        <w:t xml:space="preserve">(56) </w:t>
      </w:r>
      <w:r w:rsidRPr="00BA4A41">
        <w:rPr>
          <w:rFonts w:ascii="Helvetica" w:eastAsia="Times New Roman" w:hAnsi="Helvetica" w:cs="Times New Roman"/>
          <w:color w:val="444444"/>
          <w:sz w:val="27"/>
          <w:szCs w:val="27"/>
          <w:rtl/>
          <w:lang w:bidi="ar"/>
        </w:rPr>
        <w:t xml:space="preserve">لسنة </w:t>
      </w:r>
      <w:r w:rsidRPr="00BA4A41">
        <w:rPr>
          <w:rFonts w:ascii="Helvetica" w:eastAsia="Times New Roman" w:hAnsi="Helvetica" w:cs="Helvetica"/>
          <w:color w:val="444444"/>
          <w:sz w:val="27"/>
          <w:szCs w:val="27"/>
          <w:rtl/>
          <w:lang w:bidi="ar"/>
        </w:rPr>
        <w:t>1977</w:t>
      </w:r>
      <w:r>
        <w:rPr>
          <w:rFonts w:ascii="Helvetica" w:eastAsia="Times New Roman" w:hAnsi="Helvetica" w:cs="Helvetica" w:hint="cs"/>
          <w:color w:val="444444"/>
          <w:sz w:val="27"/>
          <w:szCs w:val="27"/>
          <w:rtl/>
          <w:lang w:bidi="ar"/>
        </w:rPr>
        <w:t xml:space="preserve"> على انه :</w:t>
      </w:r>
      <w:r w:rsidRPr="00BA4A41">
        <w:rPr>
          <w:rFonts w:ascii="Helvetica" w:eastAsia="Times New Roman" w:hAnsi="Helvetica" w:cs="Helvetica"/>
          <w:color w:val="444444"/>
          <w:sz w:val="27"/>
          <w:szCs w:val="27"/>
          <w:rtl/>
          <w:lang w:bidi="ar"/>
        </w:rPr>
        <w:br/>
      </w:r>
      <w:r>
        <w:rPr>
          <w:rFonts w:ascii="Helvetica" w:eastAsia="Times New Roman" w:hAnsi="Helvetica" w:cs="Times New Roman" w:hint="cs"/>
          <w:color w:val="444444"/>
          <w:sz w:val="27"/>
          <w:szCs w:val="27"/>
          <w:rtl/>
          <w:lang w:bidi="ar"/>
        </w:rPr>
        <w:t>((</w:t>
      </w:r>
      <w:r w:rsidRPr="00BA4A41">
        <w:rPr>
          <w:rFonts w:ascii="Helvetica" w:eastAsia="Times New Roman" w:hAnsi="Helvetica" w:cs="Times New Roman"/>
          <w:color w:val="444444"/>
          <w:sz w:val="27"/>
          <w:szCs w:val="27"/>
          <w:rtl/>
          <w:lang w:bidi="ar"/>
        </w:rPr>
        <w:t xml:space="preserve">تطبق أحكام هذا القانون من قبل </w:t>
      </w:r>
      <w:r w:rsidRPr="00BA4A41">
        <w:rPr>
          <w:rFonts w:ascii="Helvetica" w:eastAsia="Times New Roman" w:hAnsi="Helvetica" w:cs="Helvetica"/>
          <w:color w:val="444444"/>
          <w:sz w:val="27"/>
          <w:szCs w:val="27"/>
          <w:rtl/>
          <w:lang w:bidi="ar"/>
        </w:rPr>
        <w:t>:</w:t>
      </w:r>
    </w:p>
    <w:p w:rsidR="00157AE9" w:rsidRDefault="00157AE9" w:rsidP="00157AE9">
      <w:pPr>
        <w:spacing w:after="360" w:line="240" w:lineRule="auto"/>
        <w:rPr>
          <w:rFonts w:ascii="Helvetica" w:eastAsia="Times New Roman" w:hAnsi="Helvetica" w:cs="Helvetica"/>
          <w:color w:val="444444"/>
          <w:sz w:val="27"/>
          <w:szCs w:val="27"/>
          <w:rtl/>
          <w:lang w:bidi="ar"/>
        </w:rPr>
      </w:pPr>
      <w:r w:rsidRPr="00BA4A41">
        <w:rPr>
          <w:rFonts w:ascii="Helvetica" w:eastAsia="Times New Roman" w:hAnsi="Helvetica" w:cs="Helvetica"/>
          <w:color w:val="444444"/>
          <w:sz w:val="27"/>
          <w:szCs w:val="27"/>
          <w:rtl/>
          <w:lang w:bidi="ar"/>
        </w:rPr>
        <w:br/>
        <w:t xml:space="preserve">1- </w:t>
      </w:r>
      <w:r w:rsidRPr="00BA4A41">
        <w:rPr>
          <w:rFonts w:ascii="Helvetica" w:eastAsia="Times New Roman" w:hAnsi="Helvetica" w:cs="Times New Roman"/>
          <w:color w:val="444444"/>
          <w:sz w:val="27"/>
          <w:szCs w:val="27"/>
          <w:rtl/>
          <w:lang w:bidi="ar"/>
        </w:rPr>
        <w:t>الوزراء ووكلاء الوزارات</w:t>
      </w:r>
      <w:r w:rsidRPr="00BA4A41">
        <w:rPr>
          <w:rFonts w:ascii="Helvetica" w:eastAsia="Times New Roman" w:hAnsi="Helvetica" w:cs="Helvetica"/>
          <w:color w:val="444444"/>
          <w:sz w:val="27"/>
          <w:szCs w:val="27"/>
          <w:rtl/>
          <w:lang w:bidi="ar"/>
        </w:rPr>
        <w:t>.</w:t>
      </w:r>
      <w:r w:rsidRPr="00BA4A41">
        <w:rPr>
          <w:rFonts w:ascii="Helvetica" w:eastAsia="Times New Roman" w:hAnsi="Helvetica" w:cs="Helvetica"/>
          <w:color w:val="444444"/>
          <w:sz w:val="27"/>
          <w:szCs w:val="27"/>
          <w:rtl/>
          <w:lang w:bidi="ar"/>
        </w:rPr>
        <w:br/>
        <w:t xml:space="preserve">2- </w:t>
      </w:r>
      <w:r w:rsidRPr="00BA4A41">
        <w:rPr>
          <w:rFonts w:ascii="Helvetica" w:eastAsia="Times New Roman" w:hAnsi="Helvetica" w:cs="Times New Roman"/>
          <w:color w:val="444444"/>
          <w:sz w:val="27"/>
          <w:szCs w:val="27"/>
          <w:rtl/>
          <w:lang w:bidi="ar"/>
        </w:rPr>
        <w:t>أمين العاصمة ومدراء البلديات في مراكز المحافظة</w:t>
      </w:r>
      <w:r w:rsidRPr="00BA4A41">
        <w:rPr>
          <w:rFonts w:ascii="Helvetica" w:eastAsia="Times New Roman" w:hAnsi="Helvetica" w:cs="Helvetica"/>
          <w:color w:val="444444"/>
          <w:sz w:val="27"/>
          <w:szCs w:val="27"/>
          <w:rtl/>
          <w:lang w:bidi="ar"/>
        </w:rPr>
        <w:t>.</w:t>
      </w:r>
      <w:r w:rsidRPr="00BA4A41">
        <w:rPr>
          <w:rFonts w:ascii="Helvetica" w:eastAsia="Times New Roman" w:hAnsi="Helvetica" w:cs="Helvetica"/>
          <w:color w:val="444444"/>
          <w:sz w:val="27"/>
          <w:szCs w:val="27"/>
          <w:rtl/>
          <w:lang w:bidi="ar"/>
        </w:rPr>
        <w:br/>
        <w:t xml:space="preserve">3- </w:t>
      </w:r>
      <w:r w:rsidRPr="00BA4A41">
        <w:rPr>
          <w:rFonts w:ascii="Helvetica" w:eastAsia="Times New Roman" w:hAnsi="Helvetica" w:cs="Times New Roman"/>
          <w:color w:val="444444"/>
          <w:sz w:val="27"/>
          <w:szCs w:val="27"/>
          <w:rtl/>
          <w:lang w:bidi="ar"/>
        </w:rPr>
        <w:t>المحافظين</w:t>
      </w:r>
      <w:r w:rsidRPr="00BA4A41">
        <w:rPr>
          <w:rFonts w:ascii="Helvetica" w:eastAsia="Times New Roman" w:hAnsi="Helvetica" w:cs="Helvetica"/>
          <w:color w:val="444444"/>
          <w:sz w:val="27"/>
          <w:szCs w:val="27"/>
          <w:rtl/>
          <w:lang w:bidi="ar"/>
        </w:rPr>
        <w:t>.</w:t>
      </w:r>
      <w:r w:rsidRPr="00BA4A41">
        <w:rPr>
          <w:rFonts w:ascii="Helvetica" w:eastAsia="Times New Roman" w:hAnsi="Helvetica" w:cs="Helvetica"/>
          <w:color w:val="444444"/>
          <w:sz w:val="27"/>
          <w:szCs w:val="27"/>
          <w:rtl/>
          <w:lang w:bidi="ar"/>
        </w:rPr>
        <w:br/>
        <w:t xml:space="preserve">4- </w:t>
      </w:r>
      <w:r w:rsidRPr="00BA4A41">
        <w:rPr>
          <w:rFonts w:ascii="Helvetica" w:eastAsia="Times New Roman" w:hAnsi="Helvetica" w:cs="Times New Roman"/>
          <w:color w:val="444444"/>
          <w:sz w:val="27"/>
          <w:szCs w:val="27"/>
          <w:rtl/>
          <w:lang w:bidi="ar"/>
        </w:rPr>
        <w:t>رؤساء المؤسسات والمدراء العامين</w:t>
      </w:r>
      <w:r w:rsidRPr="00BA4A41">
        <w:rPr>
          <w:rFonts w:ascii="Helvetica" w:eastAsia="Times New Roman" w:hAnsi="Helvetica" w:cs="Helvetica"/>
          <w:color w:val="444444"/>
          <w:sz w:val="27"/>
          <w:szCs w:val="27"/>
          <w:rtl/>
          <w:lang w:bidi="ar"/>
        </w:rPr>
        <w:t>.</w:t>
      </w:r>
      <w:r w:rsidRPr="00BA4A41">
        <w:rPr>
          <w:rFonts w:ascii="Helvetica" w:eastAsia="Times New Roman" w:hAnsi="Helvetica" w:cs="Helvetica"/>
          <w:color w:val="444444"/>
          <w:sz w:val="27"/>
          <w:szCs w:val="27"/>
          <w:rtl/>
          <w:lang w:bidi="ar"/>
        </w:rPr>
        <w:br/>
        <w:t xml:space="preserve">5- </w:t>
      </w:r>
      <w:r w:rsidRPr="00BA4A41">
        <w:rPr>
          <w:rFonts w:ascii="Helvetica" w:eastAsia="Times New Roman" w:hAnsi="Helvetica" w:cs="Times New Roman"/>
          <w:color w:val="444444"/>
          <w:sz w:val="27"/>
          <w:szCs w:val="27"/>
          <w:rtl/>
          <w:lang w:bidi="ar"/>
        </w:rPr>
        <w:t>أي موظف آخر لا تقل درجته عن الدرجة الرابعة من قانون الخدمة المدنية اوما يقابلها في قوانين وقواعد الخدمة الأخرى بتخويل من الوزير المختص</w:t>
      </w:r>
      <w:r w:rsidRPr="00BA4A41">
        <w:rPr>
          <w:rFonts w:ascii="Helvetica" w:eastAsia="Times New Roman" w:hAnsi="Helvetica" w:cs="Helvetica"/>
          <w:color w:val="444444"/>
          <w:sz w:val="27"/>
          <w:szCs w:val="27"/>
          <w:rtl/>
          <w:lang w:bidi="ar"/>
        </w:rPr>
        <w:t>.</w:t>
      </w:r>
      <w:r w:rsidRPr="00BA4A41">
        <w:rPr>
          <w:rFonts w:ascii="Helvetica" w:eastAsia="Times New Roman" w:hAnsi="Helvetica" w:cs="Helvetica"/>
          <w:color w:val="444444"/>
          <w:sz w:val="27"/>
          <w:szCs w:val="27"/>
          <w:rtl/>
          <w:lang w:bidi="ar"/>
        </w:rPr>
        <w:br/>
        <w:t xml:space="preserve">6- </w:t>
      </w:r>
      <w:r w:rsidRPr="00BA4A41">
        <w:rPr>
          <w:rFonts w:ascii="Helvetica" w:eastAsia="Times New Roman" w:hAnsi="Helvetica" w:cs="Times New Roman"/>
          <w:color w:val="444444"/>
          <w:sz w:val="27"/>
          <w:szCs w:val="27"/>
          <w:rtl/>
          <w:lang w:bidi="ar"/>
        </w:rPr>
        <w:t>مدير النواحي بالنسبة لتوجيه الإنذار</w:t>
      </w:r>
      <w:r w:rsidRPr="00BA4A41">
        <w:rPr>
          <w:rFonts w:ascii="Helvetica" w:eastAsia="Times New Roman" w:hAnsi="Helvetica" w:cs="Helvetica"/>
          <w:color w:val="444444"/>
          <w:sz w:val="27"/>
          <w:szCs w:val="27"/>
          <w:rtl/>
          <w:lang w:bidi="ar"/>
        </w:rPr>
        <w:t>.</w:t>
      </w:r>
      <w:r>
        <w:rPr>
          <w:rFonts w:ascii="Helvetica" w:eastAsia="Times New Roman" w:hAnsi="Helvetica" w:cs="Helvetica" w:hint="cs"/>
          <w:color w:val="444444"/>
          <w:sz w:val="27"/>
          <w:szCs w:val="27"/>
          <w:rtl/>
          <w:lang w:bidi="ar"/>
        </w:rPr>
        <w:t>))</w:t>
      </w:r>
    </w:p>
    <w:p w:rsidR="002D637F" w:rsidRDefault="00157AE9" w:rsidP="00157AE9">
      <w:pPr>
        <w:spacing w:after="360" w:line="240" w:lineRule="auto"/>
        <w:rPr>
          <w:rFonts w:ascii="Arial" w:hAnsi="Arial" w:cs="Arial" w:hint="cs"/>
          <w:color w:val="666666"/>
          <w:sz w:val="28"/>
          <w:szCs w:val="28"/>
          <w:rtl/>
        </w:rPr>
      </w:pPr>
      <w:r>
        <w:rPr>
          <w:rFonts w:ascii="Helvetica" w:eastAsia="Times New Roman" w:hAnsi="Helvetica" w:cs="Helvetica" w:hint="cs"/>
          <w:color w:val="444444"/>
          <w:sz w:val="27"/>
          <w:szCs w:val="27"/>
          <w:rtl/>
          <w:lang w:bidi="ar"/>
        </w:rPr>
        <w:t xml:space="preserve">حددت المادة اعلاه الجهات المخولة بتطبيق احكام القانون الا انها قيدت </w:t>
      </w:r>
      <w:r w:rsidR="00EA4DAC">
        <w:rPr>
          <w:rFonts w:ascii="Helvetica" w:eastAsia="Times New Roman" w:hAnsi="Helvetica" w:cs="Helvetica" w:hint="cs"/>
          <w:color w:val="444444"/>
          <w:sz w:val="27"/>
          <w:szCs w:val="27"/>
          <w:rtl/>
          <w:lang w:bidi="ar"/>
        </w:rPr>
        <w:t>صلاحيات مدراء النواحي بتوجيه الانذار فقط ، اما صلاحيات الجهات الاخرى فتختلف بحسب اما اذا كان التنفيذ على اموال المدين المنقولة او كان على اموال المدين غير المنقولة ،وعلى الوجه الاتي :</w:t>
      </w:r>
    </w:p>
    <w:p w:rsidR="002D637F" w:rsidRDefault="006951FD" w:rsidP="00157AE9">
      <w:pPr>
        <w:spacing w:after="360" w:line="240" w:lineRule="auto"/>
        <w:rPr>
          <w:rFonts w:ascii="Arial" w:hAnsi="Arial" w:cs="Arial" w:hint="cs"/>
          <w:color w:val="666666"/>
          <w:sz w:val="28"/>
          <w:szCs w:val="28"/>
          <w:rtl/>
        </w:rPr>
      </w:pPr>
      <w:r w:rsidRPr="006951FD">
        <w:rPr>
          <w:rFonts w:ascii="Arial" w:hAnsi="Arial" w:cs="Arial"/>
          <w:color w:val="666666"/>
          <w:sz w:val="28"/>
          <w:szCs w:val="28"/>
          <w:rtl/>
        </w:rPr>
        <w:br/>
        <w:t>اولا / التنفيذ على اموال المدين المنقولة.</w:t>
      </w:r>
      <w:r w:rsidR="00157AE9">
        <w:rPr>
          <w:rFonts w:ascii="Arial" w:hAnsi="Arial" w:cs="Arial" w:hint="cs"/>
          <w:color w:val="666666"/>
          <w:sz w:val="28"/>
          <w:szCs w:val="28"/>
          <w:rtl/>
        </w:rPr>
        <w:t xml:space="preserve"> </w:t>
      </w:r>
      <w:r w:rsidRPr="006951FD">
        <w:rPr>
          <w:rFonts w:ascii="Arial" w:hAnsi="Arial" w:cs="Arial"/>
          <w:color w:val="666666"/>
          <w:sz w:val="28"/>
          <w:szCs w:val="28"/>
          <w:rtl/>
        </w:rPr>
        <w:br/>
        <w:t>1- التنفيذ على اموال المدين المنقولة .</w:t>
      </w:r>
      <w:r w:rsidRPr="006951FD">
        <w:rPr>
          <w:rFonts w:ascii="Arial" w:hAnsi="Arial" w:cs="Arial"/>
          <w:color w:val="666666"/>
          <w:sz w:val="28"/>
          <w:szCs w:val="28"/>
          <w:rtl/>
        </w:rPr>
        <w:br/>
        <w:t xml:space="preserve">نصت المادة التاسعة من قانون تحصيل الديون الحكومية على انه : </w:t>
      </w:r>
      <w:r w:rsidRPr="006951FD">
        <w:rPr>
          <w:rFonts w:ascii="Arial" w:hAnsi="Arial" w:cs="Arial"/>
          <w:color w:val="666666"/>
          <w:sz w:val="28"/>
          <w:szCs w:val="28"/>
          <w:rtl/>
        </w:rPr>
        <w:br/>
        <w:t>(( للمخول بتطبيق احكام هذا القانون سلطات رئيس التنفيذ،والموظف المكلف بالحجز سلطات مامور التنفيذ وتعتبر الدوائر ذات العلاقة دوائر تنفيذ، بالنسبة لتطبيق احكام هذا القانون فيما يتعلق بالاموال المنقولة )) .</w:t>
      </w:r>
      <w:r w:rsidRPr="006951FD">
        <w:rPr>
          <w:rFonts w:ascii="Arial" w:hAnsi="Arial" w:cs="Arial"/>
          <w:color w:val="666666"/>
          <w:sz w:val="28"/>
          <w:szCs w:val="28"/>
          <w:rtl/>
        </w:rPr>
        <w:br/>
        <w:t>ان الصلاحيات المخولة للجهات المختصة بتطبيق هذا القانون في حالة التنفيذ على اموال المدين المنقولة هي :</w:t>
      </w:r>
    </w:p>
    <w:p w:rsidR="002D637F" w:rsidRDefault="006951FD" w:rsidP="00157AE9">
      <w:pPr>
        <w:spacing w:after="360" w:line="240" w:lineRule="auto"/>
        <w:rPr>
          <w:rFonts w:ascii="Arial" w:hAnsi="Arial" w:cs="Arial" w:hint="cs"/>
          <w:color w:val="666666"/>
          <w:sz w:val="28"/>
          <w:szCs w:val="28"/>
          <w:rtl/>
        </w:rPr>
      </w:pPr>
      <w:bookmarkStart w:id="0" w:name="_GoBack"/>
      <w:bookmarkEnd w:id="0"/>
      <w:r w:rsidRPr="006951FD">
        <w:rPr>
          <w:rFonts w:ascii="Arial" w:hAnsi="Arial" w:cs="Arial"/>
          <w:color w:val="666666"/>
          <w:sz w:val="28"/>
          <w:szCs w:val="28"/>
          <w:rtl/>
        </w:rPr>
        <w:br/>
        <w:t>أ- الانذار .</w:t>
      </w:r>
      <w:r w:rsidRPr="006951FD">
        <w:rPr>
          <w:rFonts w:ascii="Arial" w:hAnsi="Arial" w:cs="Arial"/>
          <w:color w:val="666666"/>
          <w:sz w:val="28"/>
          <w:szCs w:val="28"/>
          <w:rtl/>
        </w:rPr>
        <w:br/>
        <w:t>اذا تاخر المدين عن دفع الدين فعلى الموظف المخول بتطبيق هذا القانون، ان ينذره بوجوب تسديد الدين خلال عشرة ايام اعتبارا من اليوم التالي لتبليغه بالانذار. 1</w:t>
      </w:r>
      <w:r w:rsidRPr="006951FD">
        <w:rPr>
          <w:rFonts w:ascii="Arial" w:hAnsi="Arial" w:cs="Arial"/>
          <w:color w:val="666666"/>
          <w:sz w:val="28"/>
          <w:szCs w:val="28"/>
          <w:rtl/>
        </w:rPr>
        <w:br/>
        <w:t>من هم الاشخاص الذين يجوز تبليغهم بالانذار ?</w:t>
      </w:r>
      <w:r w:rsidRPr="006951FD">
        <w:rPr>
          <w:rFonts w:ascii="Arial" w:hAnsi="Arial" w:cs="Arial"/>
          <w:color w:val="666666"/>
          <w:sz w:val="28"/>
          <w:szCs w:val="28"/>
          <w:rtl/>
        </w:rPr>
        <w:br/>
        <w:t>يبلغ بالانذار المدين ، اواحد افراد عائلته البالغين سن الرشد الساكنين معه في الدار، كما يجوز تبليغ من يكون مقيما معه في الدار، اومن يعمل في خدمته من البالغين، اومن يمثله قانونا ويؤخذ تاييده اعترافا بالتبليغ. 2</w:t>
      </w:r>
      <w:r w:rsidRPr="006951FD">
        <w:rPr>
          <w:rFonts w:ascii="Arial" w:hAnsi="Arial" w:cs="Arial"/>
          <w:color w:val="666666"/>
          <w:sz w:val="28"/>
          <w:szCs w:val="28"/>
          <w:rtl/>
        </w:rPr>
        <w:br/>
        <w:t>و يجوز تبليغ المدين، بعد غروب الشمس في محل عمله، اذا كانت طبيعة عمله تقتضي الاشتغال بعد الغروب. 3</w:t>
      </w:r>
    </w:p>
    <w:p w:rsidR="002D637F" w:rsidRDefault="002D637F" w:rsidP="00157AE9">
      <w:pPr>
        <w:spacing w:after="360" w:line="240" w:lineRule="auto"/>
        <w:rPr>
          <w:rFonts w:ascii="Arial" w:hAnsi="Arial" w:cs="Arial" w:hint="cs"/>
          <w:color w:val="666666"/>
          <w:sz w:val="28"/>
          <w:szCs w:val="28"/>
          <w:rtl/>
        </w:rPr>
      </w:pPr>
    </w:p>
    <w:p w:rsidR="002D637F" w:rsidRDefault="002D637F" w:rsidP="00157AE9">
      <w:pPr>
        <w:spacing w:after="360" w:line="240" w:lineRule="auto"/>
        <w:rPr>
          <w:rFonts w:ascii="Arial" w:hAnsi="Arial" w:cs="Arial" w:hint="cs"/>
          <w:color w:val="666666"/>
          <w:sz w:val="28"/>
          <w:szCs w:val="28"/>
          <w:rtl/>
        </w:rPr>
      </w:pPr>
    </w:p>
    <w:p w:rsidR="002D637F" w:rsidRDefault="002D637F" w:rsidP="00157AE9">
      <w:pPr>
        <w:spacing w:after="360" w:line="240" w:lineRule="auto"/>
        <w:rPr>
          <w:rFonts w:ascii="Arial" w:hAnsi="Arial" w:cs="Arial" w:hint="cs"/>
          <w:color w:val="666666"/>
          <w:sz w:val="28"/>
          <w:szCs w:val="28"/>
          <w:rtl/>
        </w:rPr>
      </w:pPr>
    </w:p>
    <w:p w:rsidR="002D637F" w:rsidRDefault="002D637F" w:rsidP="00157AE9">
      <w:pPr>
        <w:spacing w:after="360" w:line="240" w:lineRule="auto"/>
        <w:rPr>
          <w:rFonts w:ascii="Arial" w:hAnsi="Arial" w:cs="Arial" w:hint="cs"/>
          <w:color w:val="666666"/>
          <w:sz w:val="28"/>
          <w:szCs w:val="28"/>
          <w:rtl/>
        </w:rPr>
      </w:pPr>
    </w:p>
    <w:p w:rsidR="002D637F" w:rsidRDefault="002D637F" w:rsidP="00157AE9">
      <w:pPr>
        <w:spacing w:after="360" w:line="240" w:lineRule="auto"/>
        <w:rPr>
          <w:rFonts w:ascii="Arial" w:hAnsi="Arial" w:cs="Arial" w:hint="cs"/>
          <w:color w:val="666666"/>
          <w:sz w:val="28"/>
          <w:szCs w:val="28"/>
          <w:rtl/>
        </w:rPr>
      </w:pPr>
    </w:p>
    <w:p w:rsidR="002D637F" w:rsidRDefault="006951FD" w:rsidP="00157AE9">
      <w:pPr>
        <w:spacing w:after="360" w:line="240" w:lineRule="auto"/>
        <w:rPr>
          <w:rFonts w:ascii="Arial" w:hAnsi="Arial" w:cs="Arial" w:hint="cs"/>
          <w:color w:val="666666"/>
          <w:sz w:val="28"/>
          <w:szCs w:val="28"/>
          <w:rtl/>
        </w:rPr>
      </w:pPr>
      <w:r w:rsidRPr="006951FD">
        <w:rPr>
          <w:rFonts w:ascii="Arial" w:hAnsi="Arial" w:cs="Arial"/>
          <w:color w:val="666666"/>
          <w:sz w:val="28"/>
          <w:szCs w:val="28"/>
          <w:rtl/>
        </w:rPr>
        <w:br/>
        <w:t>ماهو الاجراء المتخذ في حالة الامتناع عن التبليغ ?</w:t>
      </w:r>
    </w:p>
    <w:p w:rsidR="002D637F" w:rsidRDefault="006951FD" w:rsidP="00157AE9">
      <w:pPr>
        <w:spacing w:after="360" w:line="240" w:lineRule="auto"/>
        <w:rPr>
          <w:rFonts w:ascii="Arial" w:hAnsi="Arial" w:cs="Arial" w:hint="cs"/>
          <w:color w:val="666666"/>
          <w:sz w:val="28"/>
          <w:szCs w:val="28"/>
          <w:rtl/>
        </w:rPr>
      </w:pPr>
      <w:r w:rsidRPr="006951FD">
        <w:rPr>
          <w:rFonts w:ascii="Arial" w:hAnsi="Arial" w:cs="Arial"/>
          <w:color w:val="666666"/>
          <w:sz w:val="28"/>
          <w:szCs w:val="28"/>
          <w:rtl/>
        </w:rPr>
        <w:br/>
        <w:t>اذا امتنع المذكورين اعلاه عن التبليغ بالانذار فينظم القائم بالتبليغ محضرا بنسختين يوقع عليهما من قبله مع شاهدين وتلصق احداهما على باب الدار اوالمحل ويعتبر ذلك تبليغا. 4</w:t>
      </w:r>
    </w:p>
    <w:p w:rsidR="002D637F" w:rsidRDefault="006951FD" w:rsidP="00157AE9">
      <w:pPr>
        <w:spacing w:after="360" w:line="240" w:lineRule="auto"/>
        <w:rPr>
          <w:rFonts w:ascii="Arial" w:hAnsi="Arial" w:cs="Arial" w:hint="cs"/>
          <w:color w:val="666666"/>
          <w:sz w:val="28"/>
          <w:szCs w:val="28"/>
          <w:rtl/>
        </w:rPr>
      </w:pPr>
      <w:r w:rsidRPr="006951FD">
        <w:rPr>
          <w:rFonts w:ascii="Arial" w:hAnsi="Arial" w:cs="Arial"/>
          <w:color w:val="666666"/>
          <w:sz w:val="28"/>
          <w:szCs w:val="28"/>
          <w:rtl/>
        </w:rPr>
        <w:br/>
        <w:t>ماهو الاجراء المتخذ اذا كان المدين مجهول المحل او الاقامة ?</w:t>
      </w:r>
    </w:p>
    <w:p w:rsidR="006951FD" w:rsidRPr="00157AE9" w:rsidRDefault="006951FD" w:rsidP="00157AE9">
      <w:pPr>
        <w:spacing w:after="360" w:line="240" w:lineRule="auto"/>
        <w:rPr>
          <w:rFonts w:ascii="Helvetica" w:eastAsia="Times New Roman" w:hAnsi="Helvetica" w:cs="Helvetica"/>
          <w:color w:val="444444"/>
          <w:sz w:val="27"/>
          <w:szCs w:val="27"/>
          <w:rtl/>
          <w:lang w:bidi="ar"/>
        </w:rPr>
      </w:pPr>
      <w:r w:rsidRPr="006951FD">
        <w:rPr>
          <w:rFonts w:ascii="Arial" w:hAnsi="Arial" w:cs="Arial"/>
          <w:color w:val="666666"/>
          <w:sz w:val="28"/>
          <w:szCs w:val="28"/>
          <w:rtl/>
        </w:rPr>
        <w:br/>
        <w:t>اذا تحقق للدائرة ان المدين مجهول المحل او الاقامة، وكانت له اموال قابلة للحجز والبيع، فيجري تبليغه بالنشر في صحيفة يومية تصدر في منطقة الدائرة الدائنة اواقرب منطقة لها، ان لم يكن في منطقة الدائرة صحيفة يومية، ويعتبر في هذه الحالة تاريخ النشر تاريخا للتبليغ. 5</w:t>
      </w:r>
    </w:p>
    <w:p w:rsidR="006951FD" w:rsidRDefault="006951FD" w:rsidP="006951FD">
      <w:pPr>
        <w:rPr>
          <w:rFonts w:ascii="Arial" w:hAnsi="Arial" w:cs="Arial"/>
          <w:color w:val="666666"/>
          <w:sz w:val="28"/>
          <w:szCs w:val="28"/>
          <w:rtl/>
        </w:rPr>
      </w:pPr>
    </w:p>
    <w:p w:rsidR="006951FD" w:rsidRDefault="006951FD" w:rsidP="006951FD">
      <w:pPr>
        <w:rPr>
          <w:rFonts w:ascii="Arial" w:hAnsi="Arial" w:cs="Arial"/>
          <w:color w:val="666666"/>
          <w:sz w:val="28"/>
          <w:szCs w:val="28"/>
          <w:rtl/>
        </w:rPr>
      </w:pPr>
    </w:p>
    <w:p w:rsidR="006951FD" w:rsidRDefault="006951FD" w:rsidP="006951FD">
      <w:pPr>
        <w:rPr>
          <w:rFonts w:ascii="Arial" w:hAnsi="Arial" w:cs="Arial"/>
          <w:color w:val="666666"/>
          <w:sz w:val="28"/>
          <w:szCs w:val="28"/>
          <w:rtl/>
          <w:lang w:bidi="ar"/>
        </w:rPr>
      </w:pPr>
      <w:r>
        <w:rPr>
          <w:rFonts w:ascii="Droid Arabic Kufi" w:hAnsi="Droid Arabic Kufi"/>
          <w:color w:val="666666"/>
          <w:sz w:val="17"/>
          <w:szCs w:val="17"/>
          <w:rtl/>
        </w:rPr>
        <w:br/>
        <w:t>-----------------------------------------------------------------------------------------------------</w:t>
      </w:r>
      <w:r>
        <w:rPr>
          <w:rFonts w:ascii="Droid Arabic Kufi" w:hAnsi="Droid Arabic Kufi"/>
          <w:color w:val="666666"/>
          <w:sz w:val="17"/>
          <w:szCs w:val="17"/>
          <w:rtl/>
        </w:rPr>
        <w:br/>
        <w:t>1</w:t>
      </w:r>
      <w:r w:rsidRPr="006951FD">
        <w:rPr>
          <w:rFonts w:ascii="Droid Arabic Kufi" w:hAnsi="Droid Arabic Kufi"/>
          <w:color w:val="666666"/>
          <w:sz w:val="24"/>
          <w:szCs w:val="24"/>
          <w:rtl/>
        </w:rPr>
        <w:t>- المادة 3 من قانون تحصيل الديون الحكومية .</w:t>
      </w:r>
      <w:r w:rsidRPr="006951FD">
        <w:rPr>
          <w:rFonts w:ascii="Droid Arabic Kufi" w:hAnsi="Droid Arabic Kufi"/>
          <w:color w:val="666666"/>
          <w:sz w:val="24"/>
          <w:szCs w:val="24"/>
          <w:rtl/>
        </w:rPr>
        <w:br/>
        <w:t>2- المادة 4 /1 من قانون تحصيل الديون الحكومية .</w:t>
      </w:r>
      <w:r w:rsidRPr="006951FD">
        <w:rPr>
          <w:rFonts w:ascii="Droid Arabic Kufi" w:hAnsi="Droid Arabic Kufi"/>
          <w:color w:val="666666"/>
          <w:sz w:val="24"/>
          <w:szCs w:val="24"/>
          <w:rtl/>
        </w:rPr>
        <w:br/>
        <w:t>3- المادة 4 /2 من قانون تحصيل الديون الحكومية .</w:t>
      </w:r>
      <w:r w:rsidRPr="006951FD">
        <w:rPr>
          <w:rFonts w:ascii="Droid Arabic Kufi" w:hAnsi="Droid Arabic Kufi"/>
          <w:color w:val="666666"/>
          <w:sz w:val="24"/>
          <w:szCs w:val="24"/>
          <w:rtl/>
        </w:rPr>
        <w:br/>
        <w:t>4- المادة 4 /3 من قانون تحصيل الديون الحكومية .</w:t>
      </w:r>
      <w:r w:rsidRPr="006951FD">
        <w:rPr>
          <w:rFonts w:ascii="Droid Arabic Kufi" w:hAnsi="Droid Arabic Kufi"/>
          <w:color w:val="666666"/>
          <w:sz w:val="24"/>
          <w:szCs w:val="24"/>
          <w:rtl/>
        </w:rPr>
        <w:br/>
        <w:t>5- المادة 4 /4 من قانون تحصيل الديون الحكومية .</w:t>
      </w:r>
    </w:p>
    <w:p w:rsidR="006951FD" w:rsidRPr="006951FD" w:rsidRDefault="006951FD" w:rsidP="006951FD">
      <w:pPr>
        <w:rPr>
          <w:rFonts w:ascii="Arial" w:hAnsi="Arial" w:cs="Arial"/>
          <w:color w:val="666666"/>
          <w:sz w:val="24"/>
          <w:szCs w:val="24"/>
          <w:rtl/>
          <w:lang w:bidi="ar"/>
        </w:rPr>
      </w:pPr>
    </w:p>
    <w:p w:rsidR="006951FD" w:rsidRPr="006951FD" w:rsidRDefault="006951FD" w:rsidP="006951FD">
      <w:pPr>
        <w:rPr>
          <w:rFonts w:ascii="Arial" w:hAnsi="Arial" w:cs="Arial"/>
          <w:color w:val="666666"/>
          <w:sz w:val="24"/>
          <w:szCs w:val="24"/>
          <w:rtl/>
          <w:lang w:bidi="ar"/>
        </w:rPr>
      </w:pPr>
    </w:p>
    <w:p w:rsidR="00157AE9" w:rsidRPr="00AD0BE2" w:rsidRDefault="00157AE9" w:rsidP="00157AE9">
      <w:pPr>
        <w:pStyle w:val="a3"/>
        <w:spacing w:after="360" w:line="240" w:lineRule="auto"/>
        <w:jc w:val="both"/>
        <w:rPr>
          <w:rFonts w:ascii="Helvetica" w:eastAsia="Times New Roman" w:hAnsi="Helvetica" w:cs="Times New Roman"/>
          <w:color w:val="444444"/>
          <w:sz w:val="27"/>
          <w:szCs w:val="27"/>
          <w:rtl/>
          <w:lang w:bidi="ar"/>
        </w:rPr>
      </w:pPr>
      <w:r w:rsidRPr="00157AE9">
        <w:rPr>
          <w:rFonts w:ascii="Helvetica" w:eastAsia="Times New Roman" w:hAnsi="Helvetica" w:cs="Times New Roman"/>
          <w:color w:val="444444"/>
          <w:sz w:val="27"/>
          <w:szCs w:val="27"/>
          <w:rtl/>
          <w:lang w:bidi="ar"/>
        </w:rPr>
        <w:t>.</w:t>
      </w:r>
    </w:p>
    <w:p w:rsidR="006951FD" w:rsidRDefault="006951FD" w:rsidP="006951FD">
      <w:pPr>
        <w:spacing w:after="360" w:line="240" w:lineRule="auto"/>
        <w:rPr>
          <w:rFonts w:ascii="Helvetica" w:eastAsia="Times New Roman" w:hAnsi="Helvetica" w:cs="Times New Roman"/>
          <w:color w:val="444444"/>
          <w:sz w:val="27"/>
          <w:szCs w:val="27"/>
          <w:rtl/>
          <w:lang w:bidi="ar"/>
        </w:rPr>
      </w:pPr>
    </w:p>
    <w:p w:rsidR="006951FD" w:rsidRDefault="006951FD" w:rsidP="00D40340">
      <w:pPr>
        <w:spacing w:after="360" w:line="240" w:lineRule="auto"/>
        <w:rPr>
          <w:rFonts w:ascii="Helvetica" w:eastAsia="Times New Roman" w:hAnsi="Helvetica" w:cs="Times New Roman"/>
          <w:color w:val="444444"/>
          <w:sz w:val="27"/>
          <w:szCs w:val="27"/>
          <w:rtl/>
          <w:lang w:bidi="ar"/>
        </w:rPr>
      </w:pPr>
    </w:p>
    <w:p w:rsidR="006951FD" w:rsidRDefault="006951FD" w:rsidP="00D40340">
      <w:pPr>
        <w:spacing w:after="360" w:line="240" w:lineRule="auto"/>
        <w:rPr>
          <w:rFonts w:ascii="Helvetica" w:eastAsia="Times New Roman" w:hAnsi="Helvetica" w:cs="Times New Roman"/>
          <w:color w:val="444444"/>
          <w:sz w:val="27"/>
          <w:szCs w:val="27"/>
          <w:rtl/>
          <w:lang w:bidi="ar"/>
        </w:rPr>
      </w:pPr>
    </w:p>
    <w:p w:rsidR="00FA2EFC" w:rsidRDefault="00FA2EFC">
      <w:pPr>
        <w:rPr>
          <w:lang w:bidi="ar"/>
        </w:rPr>
      </w:pPr>
    </w:p>
    <w:sectPr w:rsidR="00FA2EFC" w:rsidSect="000D32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Droid Arabic Kuf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C188A"/>
    <w:multiLevelType w:val="hybridMultilevel"/>
    <w:tmpl w:val="8AF42234"/>
    <w:lvl w:ilvl="0" w:tplc="5EAEA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40"/>
    <w:rsid w:val="000B765F"/>
    <w:rsid w:val="000D32AE"/>
    <w:rsid w:val="00157AE9"/>
    <w:rsid w:val="00254486"/>
    <w:rsid w:val="002D637F"/>
    <w:rsid w:val="004033F4"/>
    <w:rsid w:val="00481FC6"/>
    <w:rsid w:val="006951FD"/>
    <w:rsid w:val="00723F2D"/>
    <w:rsid w:val="00AD0BE2"/>
    <w:rsid w:val="00D40340"/>
    <w:rsid w:val="00EA4DAC"/>
    <w:rsid w:val="00FA2E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4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6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4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387</Words>
  <Characters>2210</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arkan</dc:creator>
  <cp:lastModifiedBy>arkan</cp:lastModifiedBy>
  <cp:revision>6</cp:revision>
  <dcterms:created xsi:type="dcterms:W3CDTF">2020-02-25T08:56:00Z</dcterms:created>
  <dcterms:modified xsi:type="dcterms:W3CDTF">2020-02-26T06:04:00Z</dcterms:modified>
</cp:coreProperties>
</file>