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39" w:rsidRDefault="003F7615" w:rsidP="003F7615">
      <w:pPr>
        <w:jc w:val="right"/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يصاغ للدلالة على المَرة من الفعل الثلاثي مصدر على وزن فَعْلَة بفتح فسكون، كجَلَسَ جَلْسَة، وأَكَلَ أَكْلَة. وإذا كان بناء مصدره الأصلي بالتاء، فيُدل على</w:t>
      </w:r>
    </w:p>
    <w:p w:rsidR="003F7615" w:rsidRDefault="003F7615" w:rsidP="003F76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المَرَّة بالوصف، كرَحِمَ رَحْمَةً واحدة.</w:t>
      </w:r>
    </w:p>
    <w:p w:rsidR="003F7615" w:rsidRDefault="003F7615" w:rsidP="003F76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ويُصاغ منه للدلالة على الهيئة مصدر على وزن فِعْلَة بكسر فسكون، كجَلَسَ جِلْسَة، وفى الحديث: "إذا قتلتم فأحسنوا القِتْلَة" 1. وإذا كانت التاء، فيُدَل على المرة بالوصف، كرَحِمَ رَحْمة واحدة.</w:t>
      </w:r>
    </w:p>
    <w:p w:rsidR="003F7615" w:rsidRDefault="003F7615" w:rsidP="003F76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والمرة من غير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الثلاثى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، بزيادة التاء على مصدره كانطلاقة، وإن كانت التاء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مصدره دُلَّ عليها بالوصف، كإقامة واحدة. ولا يُبْنَى من غير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الثلاثى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مصدر للهيئة، وشَذَّ2 خِمْرَة ونِقْبَة وعِمَّة، من اختمرت المرأة، وانتقبت، وتَعَمَّم الرجل.</w:t>
      </w:r>
    </w:p>
    <w:p w:rsidR="003F7615" w:rsidRDefault="003F7615" w:rsidP="003F76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الثانى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: عندهم مصدر يقال له المصدر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الميمى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لكونه مبدوءً بميم زائدة.</w:t>
      </w:r>
    </w:p>
    <w:p w:rsidR="003F7615" w:rsidRDefault="003F7615" w:rsidP="003F76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ويصاغ من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الثلاثى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على وزن مَفْعَل، بفتح الميم والعين وسكون الفاء، نحو مَنْصَر ومَضْرَب، و3 ما لم يكن مثالاً صحيح اللام، تحذف فاؤه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المضارع كوَعَدَ، فإنه يكون على زنة مَفْعِل، بكسر العين، كمَوْعِد ومَوْضِع. وشَذَّ من الأول: المرجِع والمَصِير، والمعرِفة، والمقدِرة، والقياس فيها الفتح. وقد ورد الثلاثة الأولى بالكسر، والأخير مثلّثًا4، فالشذوذ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حالتى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الكسر والضم.</w:t>
      </w:r>
    </w:p>
    <w:p w:rsidR="003F7615" w:rsidRDefault="003F7615" w:rsidP="003F76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ومن غير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الثلاثى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: يكون على زنة اسم المفعول، كمُكْرَم، ومُعَظَّم، ومُقَام.</w:t>
      </w:r>
    </w:p>
    <w:p w:rsidR="003F7615" w:rsidRDefault="003F7615" w:rsidP="003F7615">
      <w:pPr>
        <w:jc w:val="right"/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lastRenderedPageBreak/>
        <w:t xml:space="preserve">الثالث: يصاغ من اللفظ مصدر، يقال له المصدر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الصناعى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، وهو أن يُزاد على اللفظة ياء مشددة، وتاء التأنيث، كالحرية، والوطنية،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والإنسنانية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، والهمَجِيّة، والمدَنية.</w:t>
      </w:r>
      <w:bookmarkStart w:id="0" w:name="_GoBack"/>
      <w:bookmarkEnd w:id="0"/>
    </w:p>
    <w:sectPr w:rsidR="003F7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15"/>
    <w:rsid w:val="003F7615"/>
    <w:rsid w:val="00A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>Naim Al Hussaini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2018-03-05T07:27:00Z</dcterms:created>
  <dcterms:modified xsi:type="dcterms:W3CDTF">2018-03-05T07:28:00Z</dcterms:modified>
</cp:coreProperties>
</file>