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651" w:rsidRDefault="00EC5651" w:rsidP="00E561AB">
      <w:pPr>
        <w:pStyle w:val="2"/>
        <w:rPr>
          <w:rFonts w:hint="cs"/>
          <w:rtl/>
        </w:rPr>
      </w:pPr>
      <w:r>
        <w:rPr>
          <w:rFonts w:hint="cs"/>
          <w:rtl/>
        </w:rPr>
        <w:t xml:space="preserve">المحاضرة </w:t>
      </w:r>
      <w:r w:rsidR="00E561AB">
        <w:rPr>
          <w:rFonts w:hint="cs"/>
          <w:rtl/>
        </w:rPr>
        <w:t>التاسعة</w:t>
      </w:r>
      <w:bookmarkStart w:id="0" w:name="_GoBack"/>
      <w:bookmarkEnd w:id="0"/>
    </w:p>
    <w:p w:rsidR="00EC5651" w:rsidRDefault="00EC5651" w:rsidP="00EC5651">
      <w:pPr>
        <w:pStyle w:val="2"/>
        <w:rPr>
          <w:rtl/>
        </w:rPr>
      </w:pPr>
      <w:r>
        <w:rPr>
          <w:rFonts w:hint="cs"/>
          <w:rtl/>
        </w:rPr>
        <w:t xml:space="preserve">اقسام الحديث </w:t>
      </w:r>
      <w:r>
        <w:rPr>
          <w:rFonts w:hint="cs"/>
          <w:rtl/>
        </w:rPr>
        <w:t>من حيث القبول والرفض</w:t>
      </w:r>
    </w:p>
    <w:p w:rsidR="00EC5651" w:rsidRPr="00EC5651" w:rsidRDefault="00EC5651" w:rsidP="00EC5651">
      <w:pPr>
        <w:spacing w:line="276" w:lineRule="auto"/>
        <w:ind w:firstLine="340"/>
        <w:jc w:val="lowKashida"/>
        <w:rPr>
          <w:rFonts w:ascii="Simplified Arabic" w:hAnsi="Simplified Arabic" w:cs="Simplified Arabic"/>
          <w:sz w:val="32"/>
          <w:szCs w:val="32"/>
          <w:rtl/>
        </w:rPr>
      </w:pPr>
      <w:r w:rsidRPr="00EC5651">
        <w:rPr>
          <w:rFonts w:ascii="Simplified Arabic" w:hAnsi="Simplified Arabic" w:cs="Simplified Arabic"/>
          <w:sz w:val="32"/>
          <w:szCs w:val="32"/>
          <w:rtl/>
        </w:rPr>
        <w:t>هناك اختلاف في أقسام الحديث بين المتقدمين والمتاخرين فالحديث عند القدماء من الفقهاء والمحدثين إما أن يكون مقبولا وهو الحديث الصحيح فيعمل به واما أن يكون مردودا وهو الحديث الضعيف فلا يعمل به ،فعلى هذا فان الحديث الصحيح عند المتقدمين كان يشمل الصحيح والحسن والموثق ، لذا قبل التحدث عن اقسام الحديث عند المتأخرين وأثر العدالة والضبط فيه يجب التعرف على الحديث الصحيح عند المتقدمين وبدايات تقسيمه  .</w:t>
      </w:r>
    </w:p>
    <w:p w:rsidR="00EC5651" w:rsidRPr="00EC5651" w:rsidRDefault="00EC5651" w:rsidP="00EC5651">
      <w:pPr>
        <w:pStyle w:val="2"/>
        <w:rPr>
          <w:rFonts w:ascii="Simplified Arabic" w:hAnsi="Simplified Arabic" w:cs="Simplified Arabic"/>
          <w:sz w:val="32"/>
          <w:szCs w:val="32"/>
          <w:rtl/>
        </w:rPr>
      </w:pPr>
      <w:r w:rsidRPr="00EC5651">
        <w:rPr>
          <w:rFonts w:ascii="Simplified Arabic" w:hAnsi="Simplified Arabic" w:cs="Simplified Arabic"/>
          <w:sz w:val="32"/>
          <w:szCs w:val="32"/>
          <w:rtl/>
        </w:rPr>
        <w:t>الحديث الصحيح عند المتقدمين.</w:t>
      </w:r>
    </w:p>
    <w:p w:rsidR="00EC5651" w:rsidRPr="00087BB4" w:rsidRDefault="00EC5651" w:rsidP="00EC5651">
      <w:pPr>
        <w:spacing w:line="276" w:lineRule="auto"/>
        <w:ind w:firstLine="340"/>
        <w:jc w:val="lowKashida"/>
        <w:rPr>
          <w:rFonts w:ascii="Simplified Arabic" w:hAnsi="Simplified Arabic" w:cs="Simplified Arabic"/>
          <w:b/>
          <w:bCs/>
          <w:sz w:val="32"/>
          <w:szCs w:val="32"/>
          <w:rtl/>
        </w:rPr>
      </w:pPr>
      <w:r w:rsidRPr="00087BB4">
        <w:rPr>
          <w:rFonts w:ascii="Simplified Arabic" w:hAnsi="Simplified Arabic" w:cs="Simplified Arabic"/>
          <w:b/>
          <w:bCs/>
          <w:sz w:val="32"/>
          <w:szCs w:val="32"/>
          <w:rtl/>
        </w:rPr>
        <w:t>عرف الشيخ البهائي الحديث الصحيح عند المتقدمين بأنه ((كل حديث إعتضد بما يقتضي اعتمادهم عليه أو اقترن بما يوجب الوثوق به والركون إليه))</w:t>
      </w:r>
      <w:r w:rsidRPr="00087BB4">
        <w:rPr>
          <w:rFonts w:ascii="Simplified Arabic" w:hAnsi="Simplified Arabic" w:cs="Simplified Arabic"/>
          <w:b/>
          <w:bCs/>
          <w:sz w:val="32"/>
          <w:szCs w:val="32"/>
          <w:vertAlign w:val="superscript"/>
          <w:rtl/>
        </w:rPr>
        <w:t>(</w:t>
      </w:r>
      <w:r w:rsidRPr="00087BB4">
        <w:rPr>
          <w:rStyle w:val="FootnoteReference"/>
          <w:rFonts w:ascii="Simplified Arabic" w:hAnsi="Simplified Arabic" w:cs="Simplified Arabic"/>
          <w:b/>
          <w:bCs/>
          <w:sz w:val="32"/>
          <w:szCs w:val="32"/>
          <w:rtl/>
        </w:rPr>
        <w:footnoteReference w:id="1"/>
      </w:r>
      <w:r w:rsidRPr="00087BB4">
        <w:rPr>
          <w:rFonts w:ascii="Simplified Arabic" w:hAnsi="Simplified Arabic" w:cs="Simplified Arabic"/>
          <w:b/>
          <w:bCs/>
          <w:sz w:val="32"/>
          <w:szCs w:val="32"/>
          <w:vertAlign w:val="superscript"/>
          <w:rtl/>
        </w:rPr>
        <w:t>)</w:t>
      </w:r>
      <w:r w:rsidRPr="00087BB4">
        <w:rPr>
          <w:rFonts w:ascii="Simplified Arabic" w:hAnsi="Simplified Arabic" w:cs="Simplified Arabic"/>
          <w:b/>
          <w:bCs/>
          <w:sz w:val="32"/>
          <w:szCs w:val="32"/>
          <w:rtl/>
        </w:rPr>
        <w:t xml:space="preserve">، وقال الكجوري(والصحيح عند القدماء ما وثقوا بكونه من المعصوم </w:t>
      </w:r>
      <w:r w:rsidRPr="00087BB4">
        <w:rPr>
          <w:rFonts w:ascii="Simplified Arabic" w:hAnsi="Simplified Arabic" w:cs="Simplified Arabic"/>
          <w:b/>
          <w:bCs/>
          <w:sz w:val="32"/>
          <w:szCs w:val="32"/>
        </w:rPr>
        <w:sym w:font="Islamic Units 1" w:char="F041"/>
      </w:r>
      <w:r w:rsidRPr="00087BB4">
        <w:rPr>
          <w:rFonts w:ascii="Simplified Arabic" w:hAnsi="Simplified Arabic" w:cs="Simplified Arabic"/>
          <w:b/>
          <w:bCs/>
          <w:sz w:val="32"/>
          <w:szCs w:val="32"/>
          <w:rtl/>
        </w:rPr>
        <w:t xml:space="preserve"> قطعا أو ظنا ، داخلية كانت القرائن أو خارجية )</w:t>
      </w:r>
      <w:r w:rsidRPr="00087BB4">
        <w:rPr>
          <w:rFonts w:ascii="Simplified Arabic" w:hAnsi="Simplified Arabic" w:cs="Simplified Arabic"/>
          <w:b/>
          <w:bCs/>
          <w:sz w:val="32"/>
          <w:szCs w:val="32"/>
          <w:vertAlign w:val="superscript"/>
          <w:rtl/>
        </w:rPr>
        <w:t>(</w:t>
      </w:r>
      <w:r w:rsidRPr="00087BB4">
        <w:rPr>
          <w:rStyle w:val="FootnoteReference"/>
          <w:rFonts w:ascii="Simplified Arabic" w:hAnsi="Simplified Arabic" w:cs="Simplified Arabic"/>
          <w:b/>
          <w:bCs/>
          <w:sz w:val="32"/>
          <w:szCs w:val="32"/>
          <w:rtl/>
        </w:rPr>
        <w:footnoteReference w:id="2"/>
      </w:r>
      <w:r w:rsidRPr="00087BB4">
        <w:rPr>
          <w:rFonts w:ascii="Simplified Arabic" w:hAnsi="Simplified Arabic" w:cs="Simplified Arabic"/>
          <w:b/>
          <w:bCs/>
          <w:sz w:val="32"/>
          <w:szCs w:val="32"/>
          <w:vertAlign w:val="superscript"/>
          <w:rtl/>
        </w:rPr>
        <w:t>)</w:t>
      </w:r>
      <w:r w:rsidRPr="00087BB4">
        <w:rPr>
          <w:rFonts w:ascii="Simplified Arabic" w:hAnsi="Simplified Arabic" w:cs="Simplified Arabic"/>
          <w:b/>
          <w:bCs/>
          <w:sz w:val="32"/>
          <w:szCs w:val="32"/>
          <w:rtl/>
        </w:rPr>
        <w:t xml:space="preserve"> فالحديث الشريف يجب أن يكون له قرائن كي يرتقي إلى الصحة، لذا جعل الشيخ الطوسي للقرائن المفيدة لصحة الأخبار أمور منها </w:t>
      </w:r>
      <w:r w:rsidRPr="00087BB4">
        <w:rPr>
          <w:rFonts w:ascii="Simplified Arabic" w:hAnsi="Simplified Arabic" w:cs="Simplified Arabic"/>
          <w:b/>
          <w:bCs/>
          <w:sz w:val="32"/>
          <w:szCs w:val="32"/>
          <w:vertAlign w:val="superscript"/>
          <w:rtl/>
        </w:rPr>
        <w:t>(</w:t>
      </w:r>
      <w:r w:rsidRPr="00087BB4">
        <w:rPr>
          <w:rStyle w:val="FootnoteReference"/>
          <w:rFonts w:ascii="Simplified Arabic" w:hAnsi="Simplified Arabic" w:cs="Simplified Arabic"/>
          <w:b/>
          <w:bCs/>
          <w:sz w:val="32"/>
          <w:szCs w:val="32"/>
          <w:rtl/>
        </w:rPr>
        <w:footnoteReference w:id="3"/>
      </w:r>
      <w:r w:rsidRPr="00087BB4">
        <w:rPr>
          <w:rFonts w:ascii="Simplified Arabic" w:hAnsi="Simplified Arabic" w:cs="Simplified Arabic"/>
          <w:b/>
          <w:bCs/>
          <w:sz w:val="32"/>
          <w:szCs w:val="32"/>
          <w:vertAlign w:val="superscript"/>
          <w:rtl/>
        </w:rPr>
        <w:t>)</w:t>
      </w:r>
      <w:r w:rsidRPr="00087BB4">
        <w:rPr>
          <w:rFonts w:ascii="Simplified Arabic" w:hAnsi="Simplified Arabic" w:cs="Simplified Arabic"/>
          <w:b/>
          <w:bCs/>
          <w:sz w:val="32"/>
          <w:szCs w:val="32"/>
          <w:rtl/>
        </w:rPr>
        <w:t xml:space="preserve"> :</w:t>
      </w:r>
    </w:p>
    <w:p w:rsidR="00EC5651" w:rsidRPr="00087BB4" w:rsidRDefault="00EC5651" w:rsidP="00EC5651">
      <w:pPr>
        <w:spacing w:line="276" w:lineRule="auto"/>
        <w:ind w:firstLine="340"/>
        <w:jc w:val="lowKashida"/>
        <w:rPr>
          <w:rFonts w:ascii="Simplified Arabic" w:hAnsi="Simplified Arabic" w:cs="Simplified Arabic"/>
          <w:b/>
          <w:bCs/>
          <w:sz w:val="32"/>
          <w:szCs w:val="32"/>
          <w:rtl/>
        </w:rPr>
      </w:pPr>
      <w:r w:rsidRPr="00087BB4">
        <w:rPr>
          <w:rFonts w:ascii="Simplified Arabic" w:hAnsi="Simplified Arabic" w:cs="Simplified Arabic"/>
          <w:b/>
          <w:bCs/>
          <w:sz w:val="32"/>
          <w:szCs w:val="32"/>
          <w:rtl/>
        </w:rPr>
        <w:t>1 ـ موافقة الخبر لأدلة العقل ومقتضاه.</w:t>
      </w:r>
    </w:p>
    <w:p w:rsidR="00EC5651" w:rsidRPr="00087BB4" w:rsidRDefault="00EC5651" w:rsidP="00EC5651">
      <w:pPr>
        <w:spacing w:line="276" w:lineRule="auto"/>
        <w:ind w:firstLine="340"/>
        <w:jc w:val="lowKashida"/>
        <w:rPr>
          <w:rFonts w:ascii="Simplified Arabic" w:hAnsi="Simplified Arabic" w:cs="Simplified Arabic"/>
          <w:b/>
          <w:bCs/>
          <w:sz w:val="32"/>
          <w:szCs w:val="32"/>
          <w:rtl/>
        </w:rPr>
      </w:pPr>
      <w:r w:rsidRPr="00087BB4">
        <w:rPr>
          <w:rFonts w:ascii="Simplified Arabic" w:hAnsi="Simplified Arabic" w:cs="Simplified Arabic"/>
          <w:b/>
          <w:bCs/>
          <w:sz w:val="32"/>
          <w:szCs w:val="32"/>
          <w:rtl/>
        </w:rPr>
        <w:t>2 ـ مطابقة الخبر لنص الكتاب أما خصوصه أو عمومه أو دليله أو فحواه .</w:t>
      </w:r>
    </w:p>
    <w:p w:rsidR="00EC5651" w:rsidRPr="00087BB4" w:rsidRDefault="00EC5651" w:rsidP="00EC5651">
      <w:pPr>
        <w:spacing w:line="276" w:lineRule="auto"/>
        <w:ind w:firstLine="340"/>
        <w:jc w:val="lowKashida"/>
        <w:rPr>
          <w:rFonts w:ascii="Simplified Arabic" w:hAnsi="Simplified Arabic" w:cs="Simplified Arabic"/>
          <w:b/>
          <w:bCs/>
          <w:sz w:val="32"/>
          <w:szCs w:val="32"/>
          <w:rtl/>
        </w:rPr>
      </w:pPr>
      <w:r w:rsidRPr="00087BB4">
        <w:rPr>
          <w:rFonts w:ascii="Simplified Arabic" w:hAnsi="Simplified Arabic" w:cs="Simplified Arabic"/>
          <w:b/>
          <w:bCs/>
          <w:sz w:val="32"/>
          <w:szCs w:val="32"/>
          <w:rtl/>
        </w:rPr>
        <w:t>3 ـ كون الخبر موافقا للسنة المقطوع بها من جهة التواتر</w:t>
      </w:r>
      <w:r w:rsidRPr="00087BB4">
        <w:rPr>
          <w:rFonts w:ascii="Simplified Arabic" w:hAnsi="Simplified Arabic" w:cs="Simplified Arabic" w:hint="cs"/>
          <w:b/>
          <w:bCs/>
          <w:sz w:val="32"/>
          <w:szCs w:val="32"/>
          <w:rtl/>
        </w:rPr>
        <w:t>.</w:t>
      </w:r>
    </w:p>
    <w:p w:rsidR="00EC5651" w:rsidRPr="00087BB4" w:rsidRDefault="00EC5651" w:rsidP="00EC5651">
      <w:pPr>
        <w:spacing w:line="276" w:lineRule="auto"/>
        <w:ind w:firstLine="340"/>
        <w:jc w:val="lowKashida"/>
        <w:rPr>
          <w:rFonts w:ascii="Simplified Arabic" w:hAnsi="Simplified Arabic" w:cs="Simplified Arabic"/>
          <w:b/>
          <w:bCs/>
          <w:sz w:val="32"/>
          <w:szCs w:val="32"/>
          <w:rtl/>
        </w:rPr>
      </w:pPr>
      <w:r w:rsidRPr="00087BB4">
        <w:rPr>
          <w:rFonts w:ascii="Simplified Arabic" w:hAnsi="Simplified Arabic" w:cs="Simplified Arabic"/>
          <w:b/>
          <w:bCs/>
          <w:sz w:val="32"/>
          <w:szCs w:val="32"/>
          <w:rtl/>
        </w:rPr>
        <w:t>4 ـ موافقة الخبر لما أجمعت الفرقة المحقة عليه.</w:t>
      </w:r>
    </w:p>
    <w:p w:rsidR="00EC5651" w:rsidRPr="00EC5651" w:rsidRDefault="00EC5651" w:rsidP="00EC5651">
      <w:pPr>
        <w:spacing w:line="276" w:lineRule="auto"/>
        <w:ind w:firstLine="340"/>
        <w:jc w:val="lowKashida"/>
        <w:rPr>
          <w:rFonts w:cs="Simplified Arabic"/>
          <w:b/>
          <w:bCs/>
          <w:sz w:val="32"/>
          <w:szCs w:val="32"/>
          <w:rtl/>
        </w:rPr>
      </w:pPr>
      <w:r w:rsidRPr="00EC5651">
        <w:rPr>
          <w:rFonts w:cs="Simplified Arabic"/>
          <w:b/>
          <w:bCs/>
          <w:sz w:val="32"/>
          <w:szCs w:val="32"/>
          <w:rtl/>
        </w:rPr>
        <w:lastRenderedPageBreak/>
        <w:t>وقال : هذه القرائن كلها تدل على صحة متضمن أخبار الآحاد ولا تدل على صحتها في نفسها, وقد فصل بهاء الدين العاملي هذه القرائن فقال</w:t>
      </w:r>
      <w:r w:rsidRPr="00EC5651">
        <w:rPr>
          <w:rFonts w:cs="Simplified Arabic"/>
          <w:b/>
          <w:bCs/>
          <w:sz w:val="32"/>
          <w:szCs w:val="32"/>
          <w:vertAlign w:val="superscript"/>
          <w:rtl/>
        </w:rPr>
        <w:t>(</w:t>
      </w:r>
      <w:r w:rsidRPr="00EC5651">
        <w:rPr>
          <w:rStyle w:val="FootnoteReference"/>
          <w:rFonts w:cs="Simplified Arabic"/>
          <w:b/>
          <w:bCs/>
          <w:sz w:val="32"/>
          <w:szCs w:val="32"/>
          <w:rtl/>
        </w:rPr>
        <w:footnoteReference w:id="4"/>
      </w:r>
      <w:r w:rsidRPr="00EC5651">
        <w:rPr>
          <w:rFonts w:cs="Simplified Arabic"/>
          <w:b/>
          <w:bCs/>
          <w:sz w:val="32"/>
          <w:szCs w:val="32"/>
          <w:vertAlign w:val="superscript"/>
          <w:rtl/>
        </w:rPr>
        <w:t>)</w:t>
      </w:r>
      <w:r w:rsidRPr="00EC5651">
        <w:rPr>
          <w:rFonts w:cs="Simplified Arabic"/>
          <w:b/>
          <w:bCs/>
          <w:sz w:val="32"/>
          <w:szCs w:val="32"/>
          <w:rtl/>
        </w:rPr>
        <w:t>:</w:t>
      </w:r>
    </w:p>
    <w:p w:rsidR="00EC5651" w:rsidRPr="00EC5651" w:rsidRDefault="00EC5651" w:rsidP="00EC5651">
      <w:pPr>
        <w:spacing w:line="276" w:lineRule="auto"/>
        <w:ind w:firstLine="340"/>
        <w:jc w:val="lowKashida"/>
        <w:rPr>
          <w:rFonts w:cs="Simplified Arabic"/>
          <w:b/>
          <w:bCs/>
          <w:sz w:val="32"/>
          <w:szCs w:val="32"/>
          <w:rtl/>
        </w:rPr>
      </w:pPr>
      <w:r w:rsidRPr="00EC5651">
        <w:rPr>
          <w:rFonts w:cs="Simplified Arabic"/>
          <w:b/>
          <w:bCs/>
          <w:sz w:val="32"/>
          <w:szCs w:val="32"/>
          <w:rtl/>
        </w:rPr>
        <w:t>منها : وجود الخبر في كثير من الأصول الأربعمائة التي نقلوها عن مشايخهم بطرقهم المتصلة بأصحاب العصمة  ـ صلوات الله عليهم ـ، وكانت متداولة لديهم في تلك الأعصار، مشتهرة فيما بينهم اشتهار الشمس في رابعة النهار.</w:t>
      </w:r>
    </w:p>
    <w:p w:rsidR="00EC5651" w:rsidRPr="00EC5651" w:rsidRDefault="00EC5651" w:rsidP="00EC5651">
      <w:pPr>
        <w:spacing w:line="276" w:lineRule="auto"/>
        <w:ind w:firstLine="340"/>
        <w:jc w:val="lowKashida"/>
        <w:rPr>
          <w:rFonts w:cs="Simplified Arabic"/>
          <w:b/>
          <w:bCs/>
          <w:sz w:val="32"/>
          <w:szCs w:val="32"/>
        </w:rPr>
      </w:pPr>
      <w:r w:rsidRPr="00EC5651">
        <w:rPr>
          <w:rFonts w:cs="Simplified Arabic"/>
          <w:b/>
          <w:bCs/>
          <w:sz w:val="32"/>
          <w:szCs w:val="32"/>
          <w:rtl/>
        </w:rPr>
        <w:t>ومنها: تكرره في أصل أو أصلين منها فصاعدا بطرق مختلفة وأسانيد عديدة معتبرة.</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ومنها: وجوده في أصل معروف الانتساب إلى أحد الجماعة الذين اجمعوا على تصديقهم كزرارة، ومحمد بن مسلم، والفضل بن يسار، أو على تصحيح ما يصح عنهم كصفوان بن يحيى، ويونس بن عبد الرحمن، وأحمد بن محمد بن أبي نصر، أو على العمل بروايتهم كعمار الساباطي ونظرائه ممن عدهم شيخ الطائفة في كتاب العدة.</w:t>
      </w:r>
    </w:p>
    <w:p w:rsidR="00EC5651" w:rsidRPr="00C86919" w:rsidRDefault="00EC5651" w:rsidP="00C86919">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ومنها: اندراجه في الكتب التي عرضت على أحد الأئمة(عليهم صلوات الله) فأثنوا على مؤلفيها ككتاب عبيد الله الحلبي الذي عرض على الصادق</w:t>
      </w:r>
      <w:r w:rsidR="00C86919" w:rsidRPr="00C86919">
        <w:rPr>
          <w:rFonts w:ascii="Simplified Arabic" w:hAnsi="Simplified Arabic" w:cs="Simplified Arabic"/>
          <w:b/>
          <w:bCs/>
          <w:sz w:val="32"/>
          <w:szCs w:val="32"/>
        </w:rPr>
        <w:sym w:font="AGA Arabesque" w:char="F075"/>
      </w:r>
      <w:r w:rsidRPr="00C86919">
        <w:rPr>
          <w:rFonts w:ascii="Simplified Arabic" w:hAnsi="Simplified Arabic" w:cs="Simplified Arabic"/>
          <w:b/>
          <w:bCs/>
          <w:sz w:val="32"/>
          <w:szCs w:val="32"/>
          <w:rtl/>
        </w:rPr>
        <w:t xml:space="preserve"> وكتاب يونس بن عبد الرحمن، والفضل بن شاذان المعروضين على العسكري</w:t>
      </w:r>
      <w:r w:rsidR="00C86919" w:rsidRPr="00C86919">
        <w:rPr>
          <w:rFonts w:ascii="Simplified Arabic" w:hAnsi="Simplified Arabic" w:cs="Simplified Arabic"/>
          <w:b/>
          <w:bCs/>
          <w:sz w:val="32"/>
          <w:szCs w:val="32"/>
        </w:rPr>
        <w:sym w:font="AGA Arabesque" w:char="F075"/>
      </w:r>
      <w:r w:rsidRPr="00C86919">
        <w:rPr>
          <w:rFonts w:ascii="Simplified Arabic" w:hAnsi="Simplified Arabic" w:cs="Simplified Arabic"/>
          <w:b/>
          <w:bCs/>
          <w:sz w:val="32"/>
          <w:szCs w:val="32"/>
          <w:rtl/>
        </w:rPr>
        <w:t>.</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ومنها: أخذه من أحد الكتب التي شاع بين سلفهم الوثوق بها والاعتماد عليها سواء كان مؤلفوها من الفرقة الناجية(الإمامية) ككتاب الصلاة لحريز بن عبد الله السجستاني وكتب بني سعيد وعلي بن مهزيار، ومن غير الإمامية ككتاب حفص بن غياث القاضي، وحسين بن عبيد الله السعدي، وكتاب القبلة لعلي بن الحسن الطاطري .</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lastRenderedPageBreak/>
        <w:t>وذكر الحر العاملي في الفائدة الثانية عشرة</w:t>
      </w:r>
      <w:r w:rsidRPr="00C86919">
        <w:rPr>
          <w:rFonts w:ascii="Simplified Arabic" w:hAnsi="Simplified Arabic" w:cs="Simplified Arabic"/>
          <w:b/>
          <w:bCs/>
          <w:sz w:val="32"/>
          <w:szCs w:val="32"/>
          <w:vertAlign w:val="superscript"/>
          <w:rtl/>
        </w:rPr>
        <w:t>(</w:t>
      </w:r>
      <w:r w:rsidRPr="00C86919">
        <w:rPr>
          <w:rStyle w:val="FootnoteReference"/>
          <w:rFonts w:ascii="Simplified Arabic" w:hAnsi="Simplified Arabic" w:cs="Simplified Arabic"/>
          <w:b/>
          <w:bCs/>
          <w:sz w:val="32"/>
          <w:szCs w:val="32"/>
          <w:rtl/>
        </w:rPr>
        <w:footnoteReference w:id="5"/>
      </w:r>
      <w:r w:rsidRPr="00C86919">
        <w:rPr>
          <w:rFonts w:ascii="Simplified Arabic" w:hAnsi="Simplified Arabic" w:cs="Simplified Arabic"/>
          <w:b/>
          <w:bCs/>
          <w:sz w:val="32"/>
          <w:szCs w:val="32"/>
          <w:vertAlign w:val="superscript"/>
          <w:rtl/>
        </w:rPr>
        <w:t>)</w:t>
      </w:r>
      <w:r w:rsidRPr="00C86919">
        <w:rPr>
          <w:rFonts w:ascii="Simplified Arabic" w:hAnsi="Simplified Arabic" w:cs="Simplified Arabic"/>
          <w:b/>
          <w:bCs/>
          <w:sz w:val="32"/>
          <w:szCs w:val="32"/>
          <w:rtl/>
        </w:rPr>
        <w:t>صفات الرواة الذي يكون الخبر صحيحا عندما يكونوا في طريقه وقال:</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فمنهم : من نص علماؤنا على وثاقتهم مع صحة عقيدته .</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ومنهم : من نصوا على مدحه وجلالته وان لم يوثقوه مع كونه من أصحابنا ،</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ومنهم: من نصوا على توثيقه مع فساد مذهبه. </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ومنهم: من عدوه في أصحاب الإجماع. </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ومنهم: من عدوه من أصحاب الأصول.</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ومنهم: من نصوا على رواية بعض أصحاب الإجماع لكتابه.</w:t>
      </w:r>
    </w:p>
    <w:p w:rsidR="00EC5651" w:rsidRPr="00C86919" w:rsidRDefault="00EC5651" w:rsidP="00EC5651">
      <w:pPr>
        <w:spacing w:line="276" w:lineRule="auto"/>
        <w:ind w:firstLine="340"/>
        <w:jc w:val="lowKashida"/>
        <w:rPr>
          <w:rFonts w:ascii="Simplified Arabic" w:hAnsi="Simplified Arabic" w:cs="Simplified Arabic"/>
          <w:b/>
          <w:bCs/>
          <w:sz w:val="32"/>
          <w:szCs w:val="32"/>
          <w:rtl/>
        </w:rPr>
      </w:pPr>
      <w:r w:rsidRPr="00C86919">
        <w:rPr>
          <w:rFonts w:ascii="Simplified Arabic" w:hAnsi="Simplified Arabic" w:cs="Simplified Arabic"/>
          <w:b/>
          <w:bCs/>
          <w:sz w:val="32"/>
          <w:szCs w:val="32"/>
          <w:rtl/>
        </w:rPr>
        <w:t xml:space="preserve"> ومنهم: من كان ضعيفا أو مجهولا وقد شهدوا لكتابه بالصحة والاعتماد.</w:t>
      </w:r>
    </w:p>
    <w:p w:rsidR="00EC5651" w:rsidRPr="00C86919" w:rsidRDefault="00EC5651" w:rsidP="00C86919">
      <w:pPr>
        <w:spacing w:line="276" w:lineRule="auto"/>
        <w:ind w:firstLine="340"/>
        <w:jc w:val="lowKashida"/>
        <w:rPr>
          <w:rFonts w:cs="Simplified Arabic"/>
          <w:b/>
          <w:bCs/>
          <w:sz w:val="32"/>
          <w:szCs w:val="32"/>
          <w:rtl/>
        </w:rPr>
      </w:pPr>
      <w:r w:rsidRPr="00C86919">
        <w:rPr>
          <w:rFonts w:ascii="Simplified Arabic" w:hAnsi="Simplified Arabic" w:cs="Simplified Arabic"/>
          <w:b/>
          <w:bCs/>
          <w:sz w:val="32"/>
          <w:szCs w:val="32"/>
          <w:rtl/>
        </w:rPr>
        <w:t>((ومن ذلك تبين إن الصحيح في عرف المتقدمين يتسع لكل ما يجور الاعتماد عليه ، سواء كان ذلك لناحية السند أو لغيره من الأسباب، فيدخل في ذلك الموثق والحسن وحتى الضعيف المقترن ببعض القرائن، وما عدا ذلك فهو من نوع الضعيف الذي لا يجوز الاعتماد  عليه بحال من الأحوال))</w:t>
      </w:r>
      <w:r w:rsidRPr="00C86919">
        <w:rPr>
          <w:rFonts w:ascii="Simplified Arabic" w:hAnsi="Simplified Arabic" w:cs="Simplified Arabic"/>
          <w:b/>
          <w:bCs/>
          <w:sz w:val="32"/>
          <w:szCs w:val="32"/>
          <w:vertAlign w:val="superscript"/>
          <w:rtl/>
        </w:rPr>
        <w:t>(</w:t>
      </w:r>
      <w:r w:rsidRPr="00C86919">
        <w:rPr>
          <w:rStyle w:val="FootnoteReference"/>
          <w:rFonts w:ascii="Simplified Arabic" w:hAnsi="Simplified Arabic" w:cs="Simplified Arabic"/>
          <w:b/>
          <w:bCs/>
          <w:sz w:val="32"/>
          <w:szCs w:val="32"/>
          <w:rtl/>
        </w:rPr>
        <w:footnoteReference w:id="6"/>
      </w:r>
      <w:r w:rsidRPr="00C86919">
        <w:rPr>
          <w:rFonts w:ascii="Simplified Arabic" w:hAnsi="Simplified Arabic" w:cs="Simplified Arabic"/>
          <w:b/>
          <w:bCs/>
          <w:sz w:val="32"/>
          <w:szCs w:val="32"/>
          <w:vertAlign w:val="superscript"/>
          <w:rtl/>
        </w:rPr>
        <w:t>)</w:t>
      </w:r>
      <w:r w:rsidRPr="00C86919">
        <w:rPr>
          <w:rFonts w:ascii="Simplified Arabic" w:hAnsi="Simplified Arabic" w:cs="Simplified Arabic"/>
          <w:b/>
          <w:bCs/>
          <w:sz w:val="32"/>
          <w:szCs w:val="32"/>
          <w:rtl/>
        </w:rPr>
        <w:t xml:space="preserve"> قال الشيخ الطوسي((أن رواية المخالفين عن الأئمة أن عارضها رواية الموثوق بهم ، وجب طرحها وان وافقها وجب العمل بها وان لم يكن ما يوافقها أو يخالفها ولا يعرف لها قول فيها وجب العمل بها لما روي عن الصادق </w:t>
      </w:r>
      <w:r w:rsidR="00C86919">
        <w:rPr>
          <w:rFonts w:ascii="Simplified Arabic" w:hAnsi="Simplified Arabic" w:cs="Simplified Arabic"/>
          <w:b/>
          <w:bCs/>
          <w:sz w:val="32"/>
          <w:szCs w:val="32"/>
        </w:rPr>
        <w:sym w:font="AGA Arabesque" w:char="F075"/>
      </w:r>
      <w:r w:rsidRPr="00C86919">
        <w:rPr>
          <w:rFonts w:ascii="Simplified Arabic" w:hAnsi="Simplified Arabic" w:cs="Simplified Arabic"/>
          <w:b/>
          <w:bCs/>
          <w:sz w:val="32"/>
          <w:szCs w:val="32"/>
          <w:rtl/>
        </w:rPr>
        <w:t xml:space="preserve"> ((إذا نزلت بكم حادثة لا تجدون حكمها فيما رووا عنا فانظروا الى ما رووه عن علي </w:t>
      </w:r>
      <w:r w:rsidR="00C86919">
        <w:rPr>
          <w:rFonts w:ascii="Simplified Arabic" w:hAnsi="Simplified Arabic" w:cs="Simplified Arabic"/>
          <w:b/>
          <w:bCs/>
          <w:sz w:val="32"/>
          <w:szCs w:val="32"/>
        </w:rPr>
        <w:sym w:font="AGA Arabesque" w:char="F075"/>
      </w:r>
      <w:r w:rsidRPr="00C86919">
        <w:rPr>
          <w:rFonts w:ascii="Simplified Arabic" w:hAnsi="Simplified Arabic" w:cs="Simplified Arabic"/>
          <w:b/>
          <w:bCs/>
          <w:sz w:val="32"/>
          <w:szCs w:val="32"/>
          <w:rtl/>
        </w:rPr>
        <w:t xml:space="preserve"> فاعملوا به)) ولأجل ما قلناه عملت الطائفة بما رواه حفص بن غياث وغياث بن كلوب ونوح بن </w:t>
      </w:r>
      <w:r w:rsidRPr="00C86919">
        <w:rPr>
          <w:rFonts w:ascii="Simplified Arabic" w:hAnsi="Simplified Arabic" w:cs="Simplified Arabic"/>
          <w:b/>
          <w:bCs/>
          <w:sz w:val="32"/>
          <w:szCs w:val="32"/>
          <w:rtl/>
        </w:rPr>
        <w:lastRenderedPageBreak/>
        <w:t>دراج والسكوني وغيرهم</w:t>
      </w:r>
      <w:r w:rsidRPr="00C86919">
        <w:rPr>
          <w:rFonts w:cs="Simplified Arabic"/>
          <w:b/>
          <w:bCs/>
          <w:sz w:val="32"/>
          <w:szCs w:val="32"/>
          <w:rtl/>
        </w:rPr>
        <w:t xml:space="preserve"> من العامة عن أئمتنا ولم ينكروه ولم يكن عندهم خلافه))</w:t>
      </w:r>
      <w:r w:rsidRPr="00C86919">
        <w:rPr>
          <w:rFonts w:cs="Simplified Arabic"/>
          <w:b/>
          <w:bCs/>
          <w:sz w:val="32"/>
          <w:szCs w:val="32"/>
          <w:vertAlign w:val="superscript"/>
          <w:rtl/>
        </w:rPr>
        <w:t>(</w:t>
      </w:r>
      <w:r w:rsidRPr="00C86919">
        <w:rPr>
          <w:rStyle w:val="FootnoteReference"/>
          <w:rFonts w:cs="Simplified Arabic"/>
          <w:b/>
          <w:bCs/>
          <w:sz w:val="32"/>
          <w:szCs w:val="32"/>
          <w:rtl/>
        </w:rPr>
        <w:footnoteReference w:id="7"/>
      </w:r>
      <w:r w:rsidRPr="00C86919">
        <w:rPr>
          <w:rFonts w:cs="Simplified Arabic"/>
          <w:b/>
          <w:bCs/>
          <w:sz w:val="32"/>
          <w:szCs w:val="32"/>
          <w:vertAlign w:val="superscript"/>
          <w:rtl/>
        </w:rPr>
        <w:t>)</w:t>
      </w:r>
      <w:r w:rsidRPr="00C86919">
        <w:rPr>
          <w:rFonts w:cs="Simplified Arabic"/>
          <w:b/>
          <w:bCs/>
          <w:sz w:val="32"/>
          <w:szCs w:val="32"/>
          <w:rtl/>
        </w:rPr>
        <w:t>، ومن هذا النص يظهر أمران:</w:t>
      </w:r>
    </w:p>
    <w:p w:rsidR="00EC5651" w:rsidRPr="00C86919" w:rsidRDefault="00EC5651" w:rsidP="00EC5651">
      <w:pPr>
        <w:spacing w:line="276" w:lineRule="auto"/>
        <w:ind w:firstLine="340"/>
        <w:jc w:val="lowKashida"/>
        <w:rPr>
          <w:rFonts w:cs="Simplified Arabic"/>
          <w:b/>
          <w:bCs/>
          <w:sz w:val="32"/>
          <w:szCs w:val="32"/>
          <w:rtl/>
        </w:rPr>
      </w:pPr>
      <w:r w:rsidRPr="00C86919">
        <w:rPr>
          <w:rFonts w:cs="Simplified Arabic"/>
          <w:b/>
          <w:bCs/>
          <w:sz w:val="32"/>
          <w:szCs w:val="32"/>
          <w:rtl/>
        </w:rPr>
        <w:t>الأوَّل: ان الحديث الموثق الذي ينقله العامي كان معمولا به و صحيح بمصطلح المتقدمين.</w:t>
      </w:r>
    </w:p>
    <w:p w:rsidR="00EC5651" w:rsidRPr="00C86919" w:rsidRDefault="00EC5651" w:rsidP="00EC5651">
      <w:pPr>
        <w:spacing w:line="276" w:lineRule="auto"/>
        <w:ind w:firstLine="340"/>
        <w:jc w:val="lowKashida"/>
        <w:rPr>
          <w:rFonts w:cs="Simplified Arabic"/>
          <w:b/>
          <w:bCs/>
          <w:sz w:val="32"/>
          <w:szCs w:val="32"/>
          <w:rtl/>
        </w:rPr>
      </w:pPr>
      <w:r w:rsidRPr="00C86919">
        <w:rPr>
          <w:rFonts w:cs="Simplified Arabic"/>
          <w:b/>
          <w:bCs/>
          <w:sz w:val="32"/>
          <w:szCs w:val="32"/>
          <w:rtl/>
        </w:rPr>
        <w:t xml:space="preserve">  الثاني: ((أن أصل الاصطلاح كان موجودا عند القدماء والصادر من المتأخرين تغييره إلى ما هو أضبط وأنفع، ويظهرمن المتقدمين عبارات كثيرة تدل على ذلك كقول الشيخ الكليني ـ رحمه الله ـ في مقدمة الكافي : كتاب كافٍ، يأخذ من يريد علم الدين والعمل به بالآثار الصحيحة عن الصادقين عليهم السلام ، والسنن القائمة التي عليها العمل))</w:t>
      </w:r>
      <w:r w:rsidRPr="00C86919">
        <w:rPr>
          <w:rFonts w:cs="Simplified Arabic"/>
          <w:b/>
          <w:bCs/>
          <w:sz w:val="32"/>
          <w:szCs w:val="32"/>
          <w:vertAlign w:val="superscript"/>
          <w:rtl/>
        </w:rPr>
        <w:t>(</w:t>
      </w:r>
      <w:r w:rsidRPr="00C86919">
        <w:rPr>
          <w:rStyle w:val="FootnoteReference"/>
          <w:rFonts w:cs="Simplified Arabic"/>
          <w:b/>
          <w:bCs/>
          <w:sz w:val="32"/>
          <w:szCs w:val="32"/>
          <w:rtl/>
        </w:rPr>
        <w:footnoteReference w:id="8"/>
      </w:r>
      <w:r w:rsidRPr="00C86919">
        <w:rPr>
          <w:rFonts w:cs="Simplified Arabic"/>
          <w:b/>
          <w:bCs/>
          <w:sz w:val="32"/>
          <w:szCs w:val="32"/>
          <w:vertAlign w:val="superscript"/>
          <w:rtl/>
        </w:rPr>
        <w:t>)</w:t>
      </w:r>
      <w:r w:rsidRPr="00C86919">
        <w:rPr>
          <w:rFonts w:cs="Simplified Arabic"/>
          <w:b/>
          <w:bCs/>
          <w:sz w:val="32"/>
          <w:szCs w:val="32"/>
          <w:rtl/>
        </w:rPr>
        <w:t xml:space="preserve"> وما ذكره الشيخ الطوسي في العدة ((إنّا وجدنا الطائفة ميزت الرجال الناقلة لهذه الأخبار، فوثقت الثقات منهم وضعفت الضعفاء، وفرقوا بين من يعتمد على حديثه وروايته ومن لا يعتمد على خبره، ومدحوا الممدوح منهم، وذموا المذموم، وقالوا: فلان متهم في حديثه وفلان كذاب وفلان مخلط، وفلان مخالف في المذهب والاعتقاد، وفلان واقفي، فلان فطحي وغير ذلك من الطعون التي ذكروها، وصنفوا في ذلك الكتب، واستثنوا الرجال من جملة ما رووه من التصانيف في فهارسهم ، حتى أن واحدا منهم إذا أنكر حديثا نظر في إسناده وضعفه بروايته، هذه عادتهم على قديم الوقت وحديثه لا تنخرم، فلولا أن العمل لما يسلم من الطعن ويرويه من هو موثوق به جائز، لما كان بينه وبين غيره فرق، وكان يكون خبره مطروحا مثل خبر غيره، فلا يكون فائدة لشروعهم فيما شرعوا فيه من التضعيف والتوثيق، وترجيح الأخبار بعضها على </w:t>
      </w:r>
      <w:r w:rsidRPr="00C86919">
        <w:rPr>
          <w:rFonts w:cs="Simplified Arabic"/>
          <w:b/>
          <w:bCs/>
          <w:sz w:val="32"/>
          <w:szCs w:val="32"/>
          <w:rtl/>
        </w:rPr>
        <w:lastRenderedPageBreak/>
        <w:t>بعض))</w:t>
      </w:r>
      <w:r w:rsidRPr="00C86919">
        <w:rPr>
          <w:rFonts w:cs="Simplified Arabic"/>
          <w:b/>
          <w:bCs/>
          <w:sz w:val="32"/>
          <w:szCs w:val="32"/>
          <w:vertAlign w:val="superscript"/>
          <w:rtl/>
        </w:rPr>
        <w:t>(</w:t>
      </w:r>
      <w:r w:rsidRPr="00C86919">
        <w:rPr>
          <w:rStyle w:val="FootnoteReference"/>
          <w:rFonts w:cs="Simplified Arabic"/>
          <w:b/>
          <w:bCs/>
          <w:sz w:val="32"/>
          <w:szCs w:val="32"/>
          <w:rtl/>
        </w:rPr>
        <w:footnoteReference w:id="9"/>
      </w:r>
      <w:r w:rsidRPr="00C86919">
        <w:rPr>
          <w:rFonts w:cs="Simplified Arabic"/>
          <w:b/>
          <w:bCs/>
          <w:sz w:val="32"/>
          <w:szCs w:val="32"/>
          <w:vertAlign w:val="superscript"/>
          <w:rtl/>
        </w:rPr>
        <w:t>)</w:t>
      </w:r>
      <w:r w:rsidRPr="00C86919">
        <w:rPr>
          <w:rFonts w:cs="Simplified Arabic" w:hint="cs"/>
          <w:b/>
          <w:bCs/>
          <w:sz w:val="32"/>
          <w:szCs w:val="32"/>
        </w:rPr>
        <w:t xml:space="preserve"> </w:t>
      </w:r>
      <w:r w:rsidRPr="00C86919">
        <w:rPr>
          <w:rFonts w:cs="Simplified Arabic"/>
          <w:b/>
          <w:bCs/>
          <w:sz w:val="32"/>
          <w:szCs w:val="32"/>
          <w:rtl/>
        </w:rPr>
        <w:t xml:space="preserve">ويظهر من كلام شيخ الطائفة أن التوثيق والتضعيف والمدح والذم كان متداولا بين القدماء وكذلك تميز المحدثين من المذاهب الأخرى وملاحظة سند الروايات وإنكار الحديث بضعف سنده. </w:t>
      </w:r>
    </w:p>
    <w:p w:rsidR="00EC5651" w:rsidRPr="00C86919" w:rsidRDefault="00EC5651" w:rsidP="00C86919">
      <w:pPr>
        <w:spacing w:line="276" w:lineRule="auto"/>
        <w:ind w:firstLine="340"/>
        <w:jc w:val="lowKashida"/>
        <w:rPr>
          <w:rFonts w:cs="Simplified Arabic"/>
          <w:b/>
          <w:bCs/>
          <w:sz w:val="32"/>
          <w:szCs w:val="32"/>
          <w:rtl/>
        </w:rPr>
      </w:pPr>
      <w:r w:rsidRPr="00C86919">
        <w:rPr>
          <w:rFonts w:cs="Simplified Arabic"/>
          <w:b/>
          <w:bCs/>
          <w:sz w:val="32"/>
          <w:szCs w:val="32"/>
          <w:rtl/>
        </w:rPr>
        <w:t xml:space="preserve"> ويبدو أن المتأخرين قسموا الحديث اعتمادا على كلام المتقدمين وأسسوا عليه ويؤيد هذا الرأي ماذكره الخواجوئي في فوائده حيث قال : (( ان الكشي والنجاشي وابن الغضائري والشيخ في الفهرست وغيرهم من ارباب الرجال السابقين على العلامة ذكروا في كتبهم أن فلانا مثلا ضعيف ، أو عدل ، أو ثقة ، أو حجة أو هو صحيح الحديث ،أو متقن ، أو حافظ ،ضابط ، يحتج بحديثه ، صدوق لابأس به ، شيخ ، جليل ، صالح ، مشكور ، خير ،فاضل ، ممدوح ، زاهد ، عالم ، مسكون الى روايته ونحو ذالك .</w:t>
      </w:r>
    </w:p>
    <w:p w:rsidR="00EC5651" w:rsidRPr="00C86919" w:rsidRDefault="00EC5651" w:rsidP="00EC5651">
      <w:pPr>
        <w:spacing w:line="276" w:lineRule="auto"/>
        <w:ind w:firstLine="340"/>
        <w:jc w:val="lowKashida"/>
        <w:rPr>
          <w:rFonts w:cs="Simplified Arabic"/>
          <w:b/>
          <w:bCs/>
          <w:sz w:val="32"/>
          <w:szCs w:val="32"/>
          <w:rtl/>
        </w:rPr>
      </w:pPr>
      <w:r w:rsidRPr="00C86919">
        <w:rPr>
          <w:rFonts w:cs="Simplified Arabic"/>
          <w:b/>
          <w:bCs/>
          <w:sz w:val="32"/>
          <w:szCs w:val="32"/>
          <w:rtl/>
        </w:rPr>
        <w:t xml:space="preserve"> ولا معنى لكون سند الحديث صحيحا أو ضعيفا أو حسنا أو موثقا أو غير ذلك في اصطلاح المتأخرين إلا هذا </w:t>
      </w:r>
      <w:r w:rsidRPr="00C86919">
        <w:rPr>
          <w:rFonts w:cs="Simplified Arabic"/>
          <w:b/>
          <w:bCs/>
          <w:sz w:val="32"/>
          <w:szCs w:val="32"/>
          <w:vertAlign w:val="superscript"/>
          <w:rtl/>
        </w:rPr>
        <w:t>(</w:t>
      </w:r>
      <w:r w:rsidRPr="00C86919">
        <w:rPr>
          <w:rStyle w:val="FootnoteReference"/>
          <w:rFonts w:cs="Simplified Arabic"/>
          <w:b/>
          <w:bCs/>
          <w:sz w:val="32"/>
          <w:szCs w:val="32"/>
          <w:rtl/>
        </w:rPr>
        <w:footnoteReference w:id="10"/>
      </w:r>
      <w:r w:rsidRPr="00C86919">
        <w:rPr>
          <w:rFonts w:cs="Simplified Arabic"/>
          <w:b/>
          <w:bCs/>
          <w:sz w:val="32"/>
          <w:szCs w:val="32"/>
          <w:vertAlign w:val="superscript"/>
          <w:rtl/>
        </w:rPr>
        <w:t>)</w:t>
      </w:r>
      <w:r w:rsidRPr="00C86919">
        <w:rPr>
          <w:rFonts w:cs="Simplified Arabic"/>
          <w:b/>
          <w:bCs/>
          <w:sz w:val="32"/>
          <w:szCs w:val="32"/>
          <w:rtl/>
        </w:rPr>
        <w:t>.</w:t>
      </w:r>
      <w:r w:rsidRPr="00C86919">
        <w:rPr>
          <w:rFonts w:cs="Simplified Arabic"/>
          <w:b/>
          <w:bCs/>
          <w:sz w:val="32"/>
          <w:szCs w:val="32"/>
          <w:vertAlign w:val="superscript"/>
          <w:rtl/>
        </w:rPr>
        <w:t xml:space="preserve"> </w:t>
      </w:r>
    </w:p>
    <w:sectPr w:rsidR="00EC5651" w:rsidRPr="00C86919" w:rsidSect="00F3267D">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6C5" w:rsidRDefault="005A16C5" w:rsidP="00EC5651">
      <w:r>
        <w:separator/>
      </w:r>
    </w:p>
  </w:endnote>
  <w:endnote w:type="continuationSeparator" w:id="0">
    <w:p w:rsidR="005A16C5" w:rsidRDefault="005A16C5" w:rsidP="00EC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Islamic Units 1">
    <w:altName w:val="Symbol"/>
    <w:charset w:val="02"/>
    <w:family w:val="auto"/>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6C5" w:rsidRDefault="005A16C5" w:rsidP="00EC5651">
      <w:r>
        <w:separator/>
      </w:r>
    </w:p>
  </w:footnote>
  <w:footnote w:type="continuationSeparator" w:id="0">
    <w:p w:rsidR="005A16C5" w:rsidRDefault="005A16C5" w:rsidP="00EC5651">
      <w:r>
        <w:continuationSeparator/>
      </w:r>
    </w:p>
  </w:footnote>
  <w:footnote w:id="1">
    <w:p w:rsidR="00EC5651" w:rsidRPr="00EC5651" w:rsidRDefault="00EC5651" w:rsidP="00EC5651">
      <w:pPr>
        <w:pStyle w:val="FootnoteText"/>
        <w:spacing w:line="240" w:lineRule="auto"/>
        <w:jc w:val="lowKashida"/>
        <w:rPr>
          <w:rFonts w:ascii="Simplified Arabic" w:hAnsi="Simplified Arabic" w:cs="Simplified Arabic"/>
          <w:sz w:val="28"/>
          <w:szCs w:val="28"/>
        </w:rPr>
      </w:pPr>
      <w:r w:rsidRPr="00EC5651">
        <w:rPr>
          <w:rFonts w:ascii="Simplified Arabic" w:hAnsi="Simplified Arabic" w:cs="Simplified Arabic"/>
          <w:sz w:val="28"/>
          <w:szCs w:val="28"/>
          <w:rtl/>
        </w:rPr>
        <w:t>(</w:t>
      </w:r>
      <w:r w:rsidRPr="00EC5651">
        <w:rPr>
          <w:rStyle w:val="FootnoteReference"/>
          <w:rFonts w:ascii="Simplified Arabic" w:hAnsi="Simplified Arabic" w:cs="Simplified Arabic"/>
          <w:sz w:val="28"/>
          <w:szCs w:val="28"/>
          <w:vertAlign w:val="baseline"/>
        </w:rPr>
        <w:footnoteRef/>
      </w:r>
      <w:r w:rsidRPr="00EC5651">
        <w:rPr>
          <w:rFonts w:ascii="Simplified Arabic" w:hAnsi="Simplified Arabic" w:cs="Simplified Arabic"/>
          <w:sz w:val="28"/>
          <w:szCs w:val="28"/>
          <w:rtl/>
        </w:rPr>
        <w:t>)  الوجيزة</w:t>
      </w:r>
      <w:r w:rsidRPr="00EC5651">
        <w:rPr>
          <w:rFonts w:ascii="Simplified Arabic" w:hAnsi="Simplified Arabic" w:cs="Simplified Arabic"/>
          <w:sz w:val="28"/>
          <w:szCs w:val="28"/>
          <w:rtl/>
        </w:rPr>
        <w:t xml:space="preserve">، </w:t>
      </w:r>
      <w:r w:rsidRPr="00EC5651">
        <w:rPr>
          <w:rFonts w:ascii="Simplified Arabic" w:hAnsi="Simplified Arabic" w:cs="Simplified Arabic"/>
          <w:sz w:val="28"/>
          <w:szCs w:val="28"/>
          <w:rtl/>
        </w:rPr>
        <w:t>الشيخ البهائي:  23  ، أصول الحديث وأحكامه</w:t>
      </w:r>
      <w:r w:rsidRPr="00EC5651">
        <w:rPr>
          <w:rFonts w:ascii="Simplified Arabic" w:hAnsi="Simplified Arabic" w:cs="Simplified Arabic"/>
          <w:sz w:val="28"/>
          <w:szCs w:val="28"/>
          <w:rtl/>
        </w:rPr>
        <w:t xml:space="preserve">، </w:t>
      </w:r>
      <w:r w:rsidRPr="00EC5651">
        <w:rPr>
          <w:rFonts w:ascii="Simplified Arabic" w:hAnsi="Simplified Arabic" w:cs="Simplified Arabic"/>
          <w:sz w:val="28"/>
          <w:szCs w:val="28"/>
          <w:rtl/>
        </w:rPr>
        <w:t>السبحاني: 43.</w:t>
      </w:r>
    </w:p>
  </w:footnote>
  <w:footnote w:id="2">
    <w:p w:rsidR="00EC5651" w:rsidRPr="00EC5651" w:rsidRDefault="00EC5651" w:rsidP="00EC5651">
      <w:pPr>
        <w:pStyle w:val="FootnoteText"/>
        <w:spacing w:line="240" w:lineRule="auto"/>
        <w:jc w:val="lowKashida"/>
        <w:rPr>
          <w:rFonts w:ascii="Simplified Arabic" w:hAnsi="Simplified Arabic" w:cs="Simplified Arabic"/>
          <w:sz w:val="28"/>
          <w:szCs w:val="28"/>
        </w:rPr>
      </w:pPr>
      <w:r w:rsidRPr="00EC5651">
        <w:rPr>
          <w:rFonts w:ascii="Simplified Arabic" w:hAnsi="Simplified Arabic" w:cs="Simplified Arabic"/>
          <w:sz w:val="28"/>
          <w:szCs w:val="28"/>
          <w:rtl/>
        </w:rPr>
        <w:t>(</w:t>
      </w:r>
      <w:r w:rsidRPr="00EC5651">
        <w:rPr>
          <w:rStyle w:val="FootnoteReference"/>
          <w:rFonts w:ascii="Simplified Arabic" w:hAnsi="Simplified Arabic" w:cs="Simplified Arabic"/>
          <w:sz w:val="28"/>
          <w:szCs w:val="28"/>
          <w:vertAlign w:val="baseline"/>
        </w:rPr>
        <w:footnoteRef/>
      </w:r>
      <w:r w:rsidRPr="00EC5651">
        <w:rPr>
          <w:rFonts w:ascii="Simplified Arabic" w:hAnsi="Simplified Arabic" w:cs="Simplified Arabic"/>
          <w:sz w:val="28"/>
          <w:szCs w:val="28"/>
          <w:rtl/>
        </w:rPr>
        <w:t>)  الفوائد الرجالية ،</w:t>
      </w:r>
      <w:r w:rsidRPr="00EC5651">
        <w:rPr>
          <w:rFonts w:ascii="Simplified Arabic" w:hAnsi="Simplified Arabic" w:cs="Simplified Arabic"/>
          <w:sz w:val="28"/>
          <w:szCs w:val="28"/>
          <w:rtl/>
        </w:rPr>
        <w:t xml:space="preserve"> </w:t>
      </w:r>
      <w:r w:rsidRPr="00EC5651">
        <w:rPr>
          <w:rFonts w:ascii="Simplified Arabic" w:hAnsi="Simplified Arabic" w:cs="Simplified Arabic"/>
          <w:sz w:val="28"/>
          <w:szCs w:val="28"/>
          <w:rtl/>
        </w:rPr>
        <w:t>الكجوري:  94</w:t>
      </w:r>
      <w:r w:rsidRPr="00EC5651">
        <w:rPr>
          <w:rFonts w:ascii="Simplified Arabic" w:hAnsi="Simplified Arabic" w:cs="Simplified Arabic"/>
          <w:sz w:val="28"/>
          <w:szCs w:val="28"/>
          <w:rtl/>
        </w:rPr>
        <w:t>،</w:t>
      </w:r>
      <w:r w:rsidRPr="00EC5651">
        <w:rPr>
          <w:rFonts w:ascii="Simplified Arabic" w:hAnsi="Simplified Arabic" w:cs="Simplified Arabic"/>
          <w:sz w:val="28"/>
          <w:szCs w:val="28"/>
          <w:rtl/>
        </w:rPr>
        <w:t xml:space="preserve"> الفوائد الرجالية ،</w:t>
      </w:r>
      <w:r w:rsidRPr="00EC5651">
        <w:rPr>
          <w:rFonts w:ascii="Simplified Arabic" w:hAnsi="Simplified Arabic" w:cs="Simplified Arabic"/>
          <w:sz w:val="28"/>
          <w:szCs w:val="28"/>
          <w:rtl/>
        </w:rPr>
        <w:t xml:space="preserve"> </w:t>
      </w:r>
      <w:r w:rsidRPr="00EC5651">
        <w:rPr>
          <w:rFonts w:ascii="Simplified Arabic" w:hAnsi="Simplified Arabic" w:cs="Simplified Arabic"/>
          <w:sz w:val="28"/>
          <w:szCs w:val="28"/>
          <w:rtl/>
        </w:rPr>
        <w:t>الخواجوئي</w:t>
      </w:r>
      <w:r w:rsidRPr="00EC5651">
        <w:rPr>
          <w:rFonts w:ascii="Simplified Arabic" w:hAnsi="Simplified Arabic" w:cs="Simplified Arabic"/>
          <w:sz w:val="28"/>
          <w:szCs w:val="28"/>
          <w:rtl/>
        </w:rPr>
        <w:t>:</w:t>
      </w:r>
      <w:r w:rsidRPr="00EC5651">
        <w:rPr>
          <w:rFonts w:ascii="Simplified Arabic" w:hAnsi="Simplified Arabic" w:cs="Simplified Arabic"/>
          <w:sz w:val="28"/>
          <w:szCs w:val="28"/>
          <w:rtl/>
        </w:rPr>
        <w:t xml:space="preserve"> 168</w:t>
      </w:r>
    </w:p>
  </w:footnote>
  <w:footnote w:id="3">
    <w:p w:rsidR="00EC5651" w:rsidRDefault="00EC5651" w:rsidP="00EC5651">
      <w:pPr>
        <w:pStyle w:val="FootnoteText"/>
        <w:spacing w:line="240" w:lineRule="auto"/>
        <w:jc w:val="lowKashida"/>
        <w:rPr>
          <w:rFonts w:cs="Simplified Arabic"/>
          <w:sz w:val="28"/>
          <w:szCs w:val="28"/>
        </w:rPr>
      </w:pPr>
      <w:r w:rsidRPr="00EC5651">
        <w:rPr>
          <w:rFonts w:ascii="Simplified Arabic" w:hAnsi="Simplified Arabic" w:cs="Simplified Arabic"/>
          <w:sz w:val="28"/>
          <w:szCs w:val="28"/>
          <w:rtl/>
        </w:rPr>
        <w:t>(</w:t>
      </w:r>
      <w:r w:rsidRPr="00EC5651">
        <w:rPr>
          <w:rStyle w:val="FootnoteReference"/>
          <w:rFonts w:ascii="Simplified Arabic" w:hAnsi="Simplified Arabic" w:cs="Simplified Arabic"/>
          <w:sz w:val="28"/>
          <w:szCs w:val="28"/>
          <w:vertAlign w:val="baseline"/>
        </w:rPr>
        <w:footnoteRef/>
      </w:r>
      <w:r w:rsidRPr="00EC5651">
        <w:rPr>
          <w:rFonts w:ascii="Simplified Arabic" w:hAnsi="Simplified Arabic" w:cs="Simplified Arabic"/>
          <w:sz w:val="28"/>
          <w:szCs w:val="28"/>
          <w:rtl/>
        </w:rPr>
        <w:t xml:space="preserve">)  </w:t>
      </w:r>
      <w:r w:rsidRPr="00EC5651">
        <w:rPr>
          <w:rFonts w:ascii="Simplified Arabic" w:hAnsi="Simplified Arabic" w:cs="Simplified Arabic"/>
          <w:sz w:val="28"/>
          <w:szCs w:val="28"/>
          <w:rtl/>
        </w:rPr>
        <w:t>ينظر</w:t>
      </w:r>
      <w:r w:rsidRPr="00EC5651">
        <w:rPr>
          <w:rFonts w:ascii="Simplified Arabic" w:hAnsi="Simplified Arabic" w:cs="Simplified Arabic"/>
          <w:sz w:val="28"/>
          <w:szCs w:val="28"/>
          <w:rtl/>
        </w:rPr>
        <w:t xml:space="preserve">: العدة، الشيخ الطوسي: 1/150 ، الاستبصار، الشيخ الطوسي: </w:t>
      </w:r>
      <w:r w:rsidRPr="00EC5651">
        <w:rPr>
          <w:rFonts w:ascii="Simplified Arabic" w:hAnsi="Simplified Arabic" w:cs="Simplified Arabic"/>
          <w:sz w:val="28"/>
          <w:szCs w:val="28"/>
          <w:rtl/>
        </w:rPr>
        <w:t>110.</w:t>
      </w:r>
    </w:p>
  </w:footnote>
  <w:footnote w:id="4">
    <w:p w:rsidR="00EC5651" w:rsidRPr="00C86919" w:rsidRDefault="00EC5651" w:rsidP="00C86919">
      <w:pPr>
        <w:pStyle w:val="FootnoteText"/>
        <w:spacing w:line="240" w:lineRule="auto"/>
        <w:jc w:val="lowKashida"/>
        <w:rPr>
          <w:rFonts w:ascii="Simplified Arabic" w:hAnsi="Simplified Arabic" w:cs="Simplified Arabic"/>
          <w:b/>
          <w:bCs/>
          <w:sz w:val="28"/>
          <w:szCs w:val="28"/>
          <w:rtl/>
        </w:rPr>
      </w:pPr>
      <w:r w:rsidRPr="00C86919">
        <w:rPr>
          <w:rFonts w:ascii="Simplified Arabic" w:hAnsi="Simplified Arabic" w:cs="Simplified Arabic"/>
          <w:b/>
          <w:bCs/>
          <w:sz w:val="28"/>
          <w:szCs w:val="28"/>
          <w:rtl/>
        </w:rPr>
        <w:t>(</w:t>
      </w:r>
      <w:r w:rsidRPr="00C86919">
        <w:rPr>
          <w:rStyle w:val="FootnoteReference"/>
          <w:rFonts w:ascii="Simplified Arabic" w:hAnsi="Simplified Arabic" w:cs="Simplified Arabic"/>
          <w:b/>
          <w:bCs/>
          <w:sz w:val="28"/>
          <w:szCs w:val="28"/>
          <w:vertAlign w:val="baseline"/>
        </w:rPr>
        <w:footnoteRef/>
      </w:r>
      <w:r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hint="cs"/>
          <w:b/>
          <w:bCs/>
          <w:sz w:val="28"/>
          <w:szCs w:val="28"/>
          <w:rtl/>
        </w:rPr>
        <w:t>ينظر</w:t>
      </w:r>
      <w:r w:rsidRPr="00C86919">
        <w:rPr>
          <w:rFonts w:ascii="Simplified Arabic" w:hAnsi="Simplified Arabic" w:cs="Simplified Arabic"/>
          <w:b/>
          <w:bCs/>
          <w:sz w:val="28"/>
          <w:szCs w:val="28"/>
          <w:rtl/>
        </w:rPr>
        <w:t>: الخواجوئي: الفوائد الرجالية ،169 ، علي أكبر غفاري : دراسات في علم الدراية ، 25،    حسن الحكيم: مذاهب الإسلاميين، 1285.</w:t>
      </w:r>
    </w:p>
  </w:footnote>
  <w:footnote w:id="5">
    <w:p w:rsidR="00EC5651" w:rsidRPr="00C86919" w:rsidRDefault="00EC5651" w:rsidP="00C86919">
      <w:pPr>
        <w:pStyle w:val="FootnoteText"/>
        <w:spacing w:line="240" w:lineRule="auto"/>
        <w:jc w:val="lowKashida"/>
        <w:rPr>
          <w:rFonts w:ascii="Simplified Arabic" w:hAnsi="Simplified Arabic" w:cs="Simplified Arabic"/>
          <w:b/>
          <w:bCs/>
          <w:sz w:val="28"/>
          <w:szCs w:val="28"/>
        </w:rPr>
      </w:pPr>
      <w:r w:rsidRPr="00C86919">
        <w:rPr>
          <w:rFonts w:ascii="Simplified Arabic" w:hAnsi="Simplified Arabic" w:cs="Simplified Arabic"/>
          <w:b/>
          <w:bCs/>
          <w:sz w:val="28"/>
          <w:szCs w:val="28"/>
          <w:rtl/>
        </w:rPr>
        <w:t>(</w:t>
      </w:r>
      <w:r w:rsidRPr="00C86919">
        <w:rPr>
          <w:rStyle w:val="FootnoteReference"/>
          <w:rFonts w:ascii="Simplified Arabic" w:hAnsi="Simplified Arabic" w:cs="Simplified Arabic"/>
          <w:b/>
          <w:bCs/>
          <w:sz w:val="28"/>
          <w:szCs w:val="28"/>
          <w:vertAlign w:val="baseline"/>
        </w:rPr>
        <w:footnoteRef/>
      </w:r>
      <w:r w:rsidRPr="00C86919">
        <w:rPr>
          <w:rFonts w:ascii="Simplified Arabic" w:hAnsi="Simplified Arabic" w:cs="Simplified Arabic"/>
          <w:b/>
          <w:bCs/>
          <w:sz w:val="28"/>
          <w:szCs w:val="28"/>
          <w:rtl/>
        </w:rPr>
        <w:t>)  الوسائل،</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 xml:space="preserve">الحر العاملي : </w:t>
      </w:r>
      <w:r w:rsidRPr="00C86919">
        <w:rPr>
          <w:rFonts w:ascii="Simplified Arabic" w:hAnsi="Simplified Arabic" w:cs="Simplified Arabic"/>
          <w:b/>
          <w:bCs/>
          <w:sz w:val="28"/>
          <w:szCs w:val="28"/>
          <w:rtl/>
        </w:rPr>
        <w:t xml:space="preserve"> 20/113 ـ 114.</w:t>
      </w:r>
    </w:p>
  </w:footnote>
  <w:footnote w:id="6">
    <w:p w:rsidR="00EC5651" w:rsidRDefault="00EC5651" w:rsidP="00C86919">
      <w:pPr>
        <w:pStyle w:val="FootnoteText"/>
        <w:spacing w:line="240" w:lineRule="auto"/>
        <w:jc w:val="lowKashida"/>
        <w:rPr>
          <w:rFonts w:cs="Simplified Arabic"/>
          <w:sz w:val="28"/>
          <w:szCs w:val="28"/>
        </w:rPr>
      </w:pPr>
      <w:r w:rsidRPr="00C86919">
        <w:rPr>
          <w:rFonts w:ascii="Simplified Arabic" w:hAnsi="Simplified Arabic" w:cs="Simplified Arabic"/>
          <w:b/>
          <w:bCs/>
          <w:sz w:val="28"/>
          <w:szCs w:val="28"/>
          <w:rtl/>
        </w:rPr>
        <w:t>(</w:t>
      </w:r>
      <w:r w:rsidRPr="00C86919">
        <w:rPr>
          <w:rStyle w:val="FootnoteReference"/>
          <w:rFonts w:ascii="Simplified Arabic" w:hAnsi="Simplified Arabic" w:cs="Simplified Arabic"/>
          <w:b/>
          <w:bCs/>
          <w:sz w:val="28"/>
          <w:szCs w:val="28"/>
          <w:vertAlign w:val="baseline"/>
        </w:rPr>
        <w:footnoteRef/>
      </w:r>
      <w:r w:rsidRPr="00C86919">
        <w:rPr>
          <w:rFonts w:ascii="Simplified Arabic" w:hAnsi="Simplified Arabic" w:cs="Simplified Arabic"/>
          <w:b/>
          <w:bCs/>
          <w:sz w:val="28"/>
          <w:szCs w:val="28"/>
          <w:rtl/>
        </w:rPr>
        <w:t>)  دراسات في الحديث والمحدثين</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هاشم معروف</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الحسني:</w:t>
      </w:r>
      <w:r w:rsidRPr="00C86919">
        <w:rPr>
          <w:rFonts w:ascii="Simplified Arabic" w:hAnsi="Simplified Arabic" w:cs="Simplified Arabic"/>
          <w:b/>
          <w:bCs/>
          <w:sz w:val="28"/>
          <w:szCs w:val="28"/>
          <w:rtl/>
        </w:rPr>
        <w:t xml:space="preserve"> 43.</w:t>
      </w:r>
    </w:p>
  </w:footnote>
  <w:footnote w:id="7">
    <w:p w:rsidR="00EC5651" w:rsidRPr="00C86919" w:rsidRDefault="00EC5651" w:rsidP="00C86919">
      <w:pPr>
        <w:pStyle w:val="FootnoteText"/>
        <w:spacing w:line="240" w:lineRule="auto"/>
        <w:jc w:val="lowKashida"/>
        <w:rPr>
          <w:rFonts w:ascii="Simplified Arabic" w:hAnsi="Simplified Arabic" w:cs="Simplified Arabic"/>
          <w:b/>
          <w:bCs/>
          <w:sz w:val="28"/>
          <w:szCs w:val="28"/>
        </w:rPr>
      </w:pPr>
      <w:r w:rsidRPr="00C86919">
        <w:rPr>
          <w:rFonts w:ascii="Simplified Arabic" w:hAnsi="Simplified Arabic" w:cs="Simplified Arabic"/>
          <w:b/>
          <w:bCs/>
          <w:sz w:val="28"/>
          <w:szCs w:val="28"/>
          <w:rtl/>
        </w:rPr>
        <w:t>(</w:t>
      </w:r>
      <w:r w:rsidRPr="00C86919">
        <w:rPr>
          <w:rStyle w:val="FootnoteReference"/>
          <w:rFonts w:ascii="Simplified Arabic" w:hAnsi="Simplified Arabic" w:cs="Simplified Arabic"/>
          <w:b/>
          <w:bCs/>
          <w:sz w:val="28"/>
          <w:szCs w:val="28"/>
          <w:vertAlign w:val="baseline"/>
        </w:rPr>
        <w:footnoteRef/>
      </w:r>
      <w:r w:rsidRPr="00C86919">
        <w:rPr>
          <w:rFonts w:ascii="Simplified Arabic" w:hAnsi="Simplified Arabic" w:cs="Simplified Arabic"/>
          <w:b/>
          <w:bCs/>
          <w:sz w:val="28"/>
          <w:szCs w:val="28"/>
          <w:rtl/>
        </w:rPr>
        <w:t>)</w:t>
      </w:r>
      <w:r w:rsidRPr="00C86919">
        <w:rPr>
          <w:rFonts w:ascii="Simplified Arabic" w:hAnsi="Simplified Arabic" w:cs="Simplified Arabic"/>
          <w:b/>
          <w:bCs/>
          <w:sz w:val="28"/>
          <w:szCs w:val="28"/>
          <w:vertAlign w:val="superscript"/>
          <w:rtl/>
        </w:rPr>
        <w:t xml:space="preserve"> </w:t>
      </w:r>
      <w:r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ينظر</w:t>
      </w:r>
      <w:r w:rsidRPr="00C86919">
        <w:rPr>
          <w:rFonts w:ascii="Simplified Arabic" w:hAnsi="Simplified Arabic" w:cs="Simplified Arabic"/>
          <w:b/>
          <w:bCs/>
          <w:sz w:val="28"/>
          <w:szCs w:val="28"/>
          <w:rtl/>
        </w:rPr>
        <w:t>:</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 xml:space="preserve">العدة ، </w:t>
      </w:r>
      <w:r w:rsidRPr="00C86919">
        <w:rPr>
          <w:rFonts w:ascii="Simplified Arabic" w:hAnsi="Simplified Arabic" w:cs="Simplified Arabic"/>
          <w:b/>
          <w:bCs/>
          <w:sz w:val="28"/>
          <w:szCs w:val="28"/>
          <w:rtl/>
        </w:rPr>
        <w:t xml:space="preserve"> الشيخ الطوسي : 1/ 150، الفوائد الرجالية</w:t>
      </w:r>
      <w:r w:rsidR="00C86919" w:rsidRPr="00C86919">
        <w:rPr>
          <w:rFonts w:ascii="Simplified Arabic" w:hAnsi="Simplified Arabic" w:cs="Simplified Arabic"/>
          <w:b/>
          <w:bCs/>
          <w:sz w:val="28"/>
          <w:szCs w:val="28"/>
          <w:rtl/>
        </w:rPr>
        <w:t>،</w:t>
      </w:r>
      <w:r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 xml:space="preserve">الكجوري: </w:t>
      </w:r>
      <w:r w:rsidRPr="00C86919">
        <w:rPr>
          <w:rFonts w:ascii="Simplified Arabic" w:hAnsi="Simplified Arabic" w:cs="Simplified Arabic"/>
          <w:b/>
          <w:bCs/>
          <w:sz w:val="28"/>
          <w:szCs w:val="28"/>
          <w:rtl/>
        </w:rPr>
        <w:t>95.</w:t>
      </w:r>
    </w:p>
  </w:footnote>
  <w:footnote w:id="8">
    <w:p w:rsidR="00EC5651" w:rsidRDefault="00EC5651" w:rsidP="00C86919">
      <w:pPr>
        <w:pStyle w:val="FootnoteText"/>
        <w:spacing w:line="240" w:lineRule="auto"/>
        <w:jc w:val="lowKashida"/>
        <w:rPr>
          <w:rFonts w:cs="Simplified Arabic"/>
          <w:sz w:val="28"/>
          <w:szCs w:val="28"/>
        </w:rPr>
      </w:pPr>
      <w:r w:rsidRPr="00C86919">
        <w:rPr>
          <w:rFonts w:ascii="Simplified Arabic" w:hAnsi="Simplified Arabic" w:cs="Simplified Arabic"/>
          <w:b/>
          <w:bCs/>
          <w:sz w:val="28"/>
          <w:szCs w:val="28"/>
          <w:rtl/>
        </w:rPr>
        <w:t>(</w:t>
      </w:r>
      <w:r w:rsidRPr="00C86919">
        <w:rPr>
          <w:rStyle w:val="FootnoteReference"/>
          <w:rFonts w:ascii="Simplified Arabic" w:hAnsi="Simplified Arabic" w:cs="Simplified Arabic"/>
          <w:b/>
          <w:bCs/>
          <w:sz w:val="28"/>
          <w:szCs w:val="28"/>
          <w:vertAlign w:val="baseline"/>
        </w:rPr>
        <w:footnoteRef/>
      </w:r>
      <w:r w:rsidRPr="00C86919">
        <w:rPr>
          <w:rFonts w:ascii="Simplified Arabic" w:hAnsi="Simplified Arabic" w:cs="Simplified Arabic"/>
          <w:b/>
          <w:bCs/>
          <w:sz w:val="28"/>
          <w:szCs w:val="28"/>
          <w:rtl/>
        </w:rPr>
        <w:t>)  توضيح المقال</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علي</w:t>
      </w:r>
      <w:r w:rsidR="00C86919" w:rsidRPr="00C86919">
        <w:rPr>
          <w:rFonts w:ascii="Simplified Arabic" w:hAnsi="Simplified Arabic" w:cs="Simplified Arabic"/>
          <w:b/>
          <w:bCs/>
          <w:sz w:val="28"/>
          <w:szCs w:val="28"/>
          <w:rtl/>
        </w:rPr>
        <w:t xml:space="preserve"> الكني</w:t>
      </w:r>
      <w:r w:rsidR="00C86919" w:rsidRPr="00C86919">
        <w:rPr>
          <w:rFonts w:ascii="Simplified Arabic" w:hAnsi="Simplified Arabic" w:cs="Simplified Arabic"/>
          <w:b/>
          <w:bCs/>
          <w:sz w:val="28"/>
          <w:szCs w:val="28"/>
          <w:rtl/>
        </w:rPr>
        <w:t xml:space="preserve"> </w:t>
      </w:r>
      <w:r w:rsidR="00C86919" w:rsidRPr="00C86919">
        <w:rPr>
          <w:rFonts w:ascii="Simplified Arabic" w:hAnsi="Simplified Arabic" w:cs="Simplified Arabic"/>
          <w:b/>
          <w:bCs/>
          <w:sz w:val="28"/>
          <w:szCs w:val="28"/>
          <w:rtl/>
        </w:rPr>
        <w:t>:</w:t>
      </w:r>
      <w:r w:rsidR="00C86919" w:rsidRPr="00C86919">
        <w:rPr>
          <w:rFonts w:ascii="Simplified Arabic" w:hAnsi="Simplified Arabic" w:cs="Simplified Arabic"/>
          <w:b/>
          <w:bCs/>
          <w:sz w:val="28"/>
          <w:szCs w:val="28"/>
          <w:rtl/>
        </w:rPr>
        <w:t xml:space="preserve"> </w:t>
      </w:r>
      <w:r w:rsidRPr="00C86919">
        <w:rPr>
          <w:rFonts w:ascii="Simplified Arabic" w:hAnsi="Simplified Arabic" w:cs="Simplified Arabic"/>
          <w:b/>
          <w:bCs/>
          <w:sz w:val="28"/>
          <w:szCs w:val="28"/>
          <w:rtl/>
        </w:rPr>
        <w:t xml:space="preserve"> 244.</w:t>
      </w:r>
    </w:p>
  </w:footnote>
  <w:footnote w:id="9">
    <w:p w:rsidR="00EC5651" w:rsidRPr="00087BB4" w:rsidRDefault="00EC5651" w:rsidP="00087BB4">
      <w:pPr>
        <w:pStyle w:val="FootnoteText"/>
        <w:spacing w:line="240" w:lineRule="auto"/>
        <w:jc w:val="lowKashida"/>
        <w:rPr>
          <w:rFonts w:ascii="Simplified Arabic" w:hAnsi="Simplified Arabic" w:cs="Simplified Arabic"/>
          <w:sz w:val="28"/>
          <w:szCs w:val="28"/>
        </w:rPr>
      </w:pPr>
      <w:r w:rsidRPr="00087BB4">
        <w:rPr>
          <w:rFonts w:ascii="Simplified Arabic" w:hAnsi="Simplified Arabic" w:cs="Simplified Arabic"/>
          <w:sz w:val="28"/>
          <w:szCs w:val="28"/>
          <w:rtl/>
        </w:rPr>
        <w:t>(</w:t>
      </w:r>
      <w:r w:rsidRPr="00087BB4">
        <w:rPr>
          <w:rStyle w:val="FootnoteReference"/>
          <w:rFonts w:ascii="Simplified Arabic" w:hAnsi="Simplified Arabic" w:cs="Simplified Arabic"/>
          <w:sz w:val="28"/>
          <w:szCs w:val="28"/>
          <w:vertAlign w:val="baseline"/>
        </w:rPr>
        <w:footnoteRef/>
      </w:r>
      <w:r w:rsidRPr="00087BB4">
        <w:rPr>
          <w:rFonts w:ascii="Simplified Arabic" w:hAnsi="Simplified Arabic" w:cs="Simplified Arabic"/>
          <w:sz w:val="28"/>
          <w:szCs w:val="28"/>
          <w:rtl/>
        </w:rPr>
        <w:t>)  عدة الأصول ،</w:t>
      </w:r>
      <w:r w:rsidR="00087BB4" w:rsidRPr="00087BB4">
        <w:rPr>
          <w:rFonts w:ascii="Simplified Arabic" w:hAnsi="Simplified Arabic" w:cs="Simplified Arabic"/>
          <w:sz w:val="28"/>
          <w:szCs w:val="28"/>
          <w:rtl/>
        </w:rPr>
        <w:t xml:space="preserve"> </w:t>
      </w:r>
      <w:r w:rsidR="00087BB4" w:rsidRPr="00087BB4">
        <w:rPr>
          <w:rFonts w:ascii="Simplified Arabic" w:hAnsi="Simplified Arabic" w:cs="Simplified Arabic"/>
          <w:sz w:val="28"/>
          <w:szCs w:val="28"/>
          <w:rtl/>
        </w:rPr>
        <w:t xml:space="preserve">الطوسي: </w:t>
      </w:r>
      <w:r w:rsidRPr="00087BB4">
        <w:rPr>
          <w:rFonts w:ascii="Simplified Arabic" w:hAnsi="Simplified Arabic" w:cs="Simplified Arabic"/>
          <w:sz w:val="28"/>
          <w:szCs w:val="28"/>
          <w:rtl/>
        </w:rPr>
        <w:t xml:space="preserve"> 1/ 141 ـ 142.</w:t>
      </w:r>
    </w:p>
  </w:footnote>
  <w:footnote w:id="10">
    <w:p w:rsidR="00EC5651" w:rsidRDefault="00EC5651" w:rsidP="00087BB4">
      <w:pPr>
        <w:pStyle w:val="FootnoteText"/>
        <w:spacing w:line="240" w:lineRule="auto"/>
        <w:jc w:val="lowKashida"/>
        <w:rPr>
          <w:rFonts w:ascii="Times New Roman" w:hAnsi="Times New Roman" w:cs="Times New Roman"/>
          <w:sz w:val="28"/>
          <w:szCs w:val="28"/>
          <w:lang w:bidi="ar-IQ"/>
        </w:rPr>
      </w:pPr>
      <w:r w:rsidRPr="00087BB4">
        <w:rPr>
          <w:rFonts w:ascii="Simplified Arabic" w:hAnsi="Simplified Arabic" w:cs="Simplified Arabic"/>
          <w:sz w:val="28"/>
          <w:szCs w:val="28"/>
          <w:rtl/>
        </w:rPr>
        <w:t>(</w:t>
      </w:r>
      <w:r w:rsidRPr="00087BB4">
        <w:rPr>
          <w:rStyle w:val="FootnoteReference"/>
          <w:rFonts w:ascii="Simplified Arabic" w:hAnsi="Simplified Arabic" w:cs="Simplified Arabic"/>
          <w:sz w:val="28"/>
          <w:szCs w:val="28"/>
          <w:vertAlign w:val="baseline"/>
        </w:rPr>
        <w:footnoteRef/>
      </w:r>
      <w:r w:rsidRPr="00087BB4">
        <w:rPr>
          <w:rFonts w:ascii="Simplified Arabic" w:hAnsi="Simplified Arabic" w:cs="Simplified Arabic"/>
          <w:sz w:val="28"/>
          <w:szCs w:val="28"/>
          <w:rtl/>
        </w:rPr>
        <w:t>)  الفوائد الرجالية ،</w:t>
      </w:r>
      <w:r w:rsidR="00087BB4" w:rsidRPr="00087BB4">
        <w:rPr>
          <w:rFonts w:ascii="Simplified Arabic" w:hAnsi="Simplified Arabic" w:cs="Simplified Arabic"/>
          <w:sz w:val="28"/>
          <w:szCs w:val="28"/>
          <w:rtl/>
        </w:rPr>
        <w:t xml:space="preserve"> </w:t>
      </w:r>
      <w:r w:rsidR="00087BB4" w:rsidRPr="00087BB4">
        <w:rPr>
          <w:rFonts w:ascii="Simplified Arabic" w:hAnsi="Simplified Arabic" w:cs="Simplified Arabic"/>
          <w:sz w:val="28"/>
          <w:szCs w:val="28"/>
          <w:rtl/>
        </w:rPr>
        <w:t xml:space="preserve">الخواجوئي : </w:t>
      </w:r>
      <w:r w:rsidRPr="00087BB4">
        <w:rPr>
          <w:rFonts w:ascii="Simplified Arabic" w:hAnsi="Simplified Arabic" w:cs="Simplified Arabic"/>
          <w:sz w:val="28"/>
          <w:szCs w:val="28"/>
          <w:rtl/>
        </w:rPr>
        <w:t xml:space="preserve"> 169.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651"/>
    <w:rsid w:val="00087BB4"/>
    <w:rsid w:val="005A16C5"/>
    <w:rsid w:val="00C86919"/>
    <w:rsid w:val="00DC0C35"/>
    <w:rsid w:val="00E561AB"/>
    <w:rsid w:val="00EC5651"/>
    <w:rsid w:val="00F326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651"/>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C5651"/>
    <w:pPr>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EC5651"/>
    <w:rPr>
      <w:rFonts w:ascii="Calibri" w:eastAsia="Calibri" w:hAnsi="Calibri" w:cs="Arial"/>
      <w:sz w:val="20"/>
      <w:szCs w:val="20"/>
    </w:rPr>
  </w:style>
  <w:style w:type="character" w:customStyle="1" w:styleId="2Char">
    <w:name w:val="حيدر2 Char"/>
    <w:basedOn w:val="DefaultParagraphFont"/>
    <w:link w:val="2"/>
    <w:locked/>
    <w:rsid w:val="00EC5651"/>
    <w:rPr>
      <w:rFonts w:ascii="Times New Roman" w:eastAsia="Times New Roman" w:hAnsi="Times New Roman" w:cs="Times New Roman"/>
      <w:b/>
      <w:bCs/>
      <w:sz w:val="34"/>
      <w:szCs w:val="34"/>
    </w:rPr>
  </w:style>
  <w:style w:type="paragraph" w:customStyle="1" w:styleId="2">
    <w:name w:val="حيدر2"/>
    <w:basedOn w:val="Normal"/>
    <w:link w:val="2Char"/>
    <w:qFormat/>
    <w:rsid w:val="00EC5651"/>
    <w:pPr>
      <w:spacing w:after="200"/>
      <w:jc w:val="lowKashida"/>
    </w:pPr>
    <w:rPr>
      <w:b/>
      <w:bCs/>
      <w:sz w:val="34"/>
      <w:szCs w:val="34"/>
    </w:rPr>
  </w:style>
  <w:style w:type="character" w:styleId="FootnoteReference">
    <w:name w:val="footnote reference"/>
    <w:basedOn w:val="DefaultParagraphFont"/>
    <w:uiPriority w:val="99"/>
    <w:semiHidden/>
    <w:unhideWhenUsed/>
    <w:rsid w:val="00EC565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651"/>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C5651"/>
    <w:pPr>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EC5651"/>
    <w:rPr>
      <w:rFonts w:ascii="Calibri" w:eastAsia="Calibri" w:hAnsi="Calibri" w:cs="Arial"/>
      <w:sz w:val="20"/>
      <w:szCs w:val="20"/>
    </w:rPr>
  </w:style>
  <w:style w:type="character" w:customStyle="1" w:styleId="2Char">
    <w:name w:val="حيدر2 Char"/>
    <w:basedOn w:val="DefaultParagraphFont"/>
    <w:link w:val="2"/>
    <w:locked/>
    <w:rsid w:val="00EC5651"/>
    <w:rPr>
      <w:rFonts w:ascii="Times New Roman" w:eastAsia="Times New Roman" w:hAnsi="Times New Roman" w:cs="Times New Roman"/>
      <w:b/>
      <w:bCs/>
      <w:sz w:val="34"/>
      <w:szCs w:val="34"/>
    </w:rPr>
  </w:style>
  <w:style w:type="paragraph" w:customStyle="1" w:styleId="2">
    <w:name w:val="حيدر2"/>
    <w:basedOn w:val="Normal"/>
    <w:link w:val="2Char"/>
    <w:qFormat/>
    <w:rsid w:val="00EC5651"/>
    <w:pPr>
      <w:spacing w:after="200"/>
      <w:jc w:val="lowKashida"/>
    </w:pPr>
    <w:rPr>
      <w:b/>
      <w:bCs/>
      <w:sz w:val="34"/>
      <w:szCs w:val="34"/>
    </w:rPr>
  </w:style>
  <w:style w:type="character" w:styleId="FootnoteReference">
    <w:name w:val="footnote reference"/>
    <w:basedOn w:val="DefaultParagraphFont"/>
    <w:uiPriority w:val="99"/>
    <w:semiHidden/>
    <w:unhideWhenUsed/>
    <w:rsid w:val="00EC56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ahmed07812534025</dc:creator>
  <cp:lastModifiedBy>ahmed07812534025</cp:lastModifiedBy>
  <cp:revision>2</cp:revision>
  <dcterms:created xsi:type="dcterms:W3CDTF">2016-01-07T16:19:00Z</dcterms:created>
  <dcterms:modified xsi:type="dcterms:W3CDTF">2016-01-07T16:42:00Z</dcterms:modified>
</cp:coreProperties>
</file>