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310C" w:rsidRPr="004A310C" w:rsidRDefault="004A310C" w:rsidP="004A310C">
      <w:pPr>
        <w:shd w:val="clear" w:color="auto" w:fill="FFFFFF"/>
        <w:bidi w:val="0"/>
        <w:spacing w:after="45"/>
        <w:jc w:val="center"/>
        <w:outlineLvl w:val="1"/>
        <w:rPr>
          <w:rFonts w:asciiTheme="majorBidi" w:eastAsia="Times New Roman" w:hAnsiTheme="majorBidi" w:cstheme="majorBidi"/>
          <w:b/>
          <w:bCs/>
          <w:caps/>
          <w:sz w:val="36"/>
          <w:szCs w:val="36"/>
        </w:rPr>
      </w:pPr>
      <w:r w:rsidRPr="004A310C">
        <w:rPr>
          <w:rFonts w:asciiTheme="majorBidi" w:eastAsia="Times New Roman" w:hAnsiTheme="majorBidi" w:cstheme="majorBidi"/>
          <w:b/>
          <w:bCs/>
          <w:caps/>
          <w:sz w:val="36"/>
          <w:szCs w:val="36"/>
        </w:rPr>
        <w:t>DECONGESTANTS</w:t>
      </w:r>
    </w:p>
    <w:p w:rsidR="004A310C" w:rsidRDefault="004A310C" w:rsidP="004A310C">
      <w:pPr>
        <w:shd w:val="clear" w:color="auto" w:fill="FFFFFF"/>
        <w:bidi w:val="0"/>
        <w:spacing w:after="45"/>
        <w:jc w:val="both"/>
        <w:outlineLvl w:val="1"/>
        <w:rPr>
          <w:rFonts w:asciiTheme="majorBidi" w:eastAsia="Times New Roman" w:hAnsiTheme="majorBidi" w:cstheme="majorBidi"/>
          <w:b/>
          <w:bCs/>
          <w:caps/>
          <w:color w:val="000000"/>
          <w:sz w:val="28"/>
          <w:szCs w:val="28"/>
        </w:rPr>
      </w:pPr>
    </w:p>
    <w:p w:rsidR="003F2B62" w:rsidRPr="003F2B62" w:rsidRDefault="00AD0269" w:rsidP="00D62FF8">
      <w:pPr>
        <w:shd w:val="clear" w:color="auto" w:fill="FFFFFF"/>
        <w:bidi w:val="0"/>
        <w:spacing w:after="45"/>
        <w:jc w:val="both"/>
        <w:outlineLvl w:val="1"/>
        <w:rPr>
          <w:rFonts w:asciiTheme="majorBidi" w:eastAsia="Times New Roman" w:hAnsiTheme="majorBidi" w:cstheme="majorBidi"/>
          <w:b/>
          <w:bCs/>
          <w:caps/>
          <w:color w:val="000000"/>
          <w:sz w:val="28"/>
          <w:szCs w:val="28"/>
        </w:rPr>
      </w:pPr>
      <w:r>
        <w:rPr>
          <w:rFonts w:asciiTheme="majorBidi" w:eastAsia="Times New Roman" w:hAnsiTheme="majorBidi" w:cstheme="majorBidi"/>
          <w:b/>
          <w:bCs/>
          <w:caps/>
          <w:color w:val="000000"/>
          <w:sz w:val="28"/>
          <w:szCs w:val="28"/>
        </w:rPr>
        <w:t xml:space="preserve">1- </w:t>
      </w:r>
      <w:r w:rsidR="003F2B62" w:rsidRPr="003F2B62">
        <w:rPr>
          <w:rFonts w:asciiTheme="majorBidi" w:eastAsia="Times New Roman" w:hAnsiTheme="majorBidi" w:cstheme="majorBidi"/>
          <w:b/>
          <w:bCs/>
          <w:caps/>
          <w:color w:val="000000"/>
          <w:sz w:val="28"/>
          <w:szCs w:val="28"/>
        </w:rPr>
        <w:t>IMIDAZOLINE DECONGESTANTS</w:t>
      </w:r>
    </w:p>
    <w:p w:rsidR="003F2B62" w:rsidRPr="003F2B62" w:rsidRDefault="00AD0269" w:rsidP="00AD0269">
      <w:pPr>
        <w:shd w:val="clear" w:color="auto" w:fill="FFFFFF"/>
        <w:bidi w:val="0"/>
        <w:spacing w:after="0"/>
        <w:jc w:val="both"/>
        <w:rPr>
          <w:rFonts w:asciiTheme="majorBidi" w:eastAsia="Times New Roman" w:hAnsiTheme="majorBidi" w:cstheme="majorBidi"/>
          <w:color w:val="000000"/>
          <w:sz w:val="28"/>
          <w:szCs w:val="28"/>
        </w:rPr>
      </w:pPr>
      <w:bookmarkStart w:id="0" w:name="v3352770"/>
      <w:bookmarkEnd w:id="0"/>
      <w:r>
        <w:rPr>
          <w:rFonts w:asciiTheme="majorBidi" w:eastAsia="Times New Roman" w:hAnsiTheme="majorBidi" w:cstheme="majorBidi"/>
          <w:color w:val="000000"/>
          <w:sz w:val="28"/>
          <w:szCs w:val="28"/>
        </w:rPr>
        <w:t xml:space="preserve">The </w:t>
      </w:r>
      <w:proofErr w:type="spellStart"/>
      <w:r>
        <w:rPr>
          <w:rFonts w:asciiTheme="majorBidi" w:eastAsia="Times New Roman" w:hAnsiTheme="majorBidi" w:cstheme="majorBidi"/>
          <w:color w:val="000000"/>
          <w:sz w:val="28"/>
          <w:szCs w:val="28"/>
        </w:rPr>
        <w:t>imidazoline</w:t>
      </w:r>
      <w:proofErr w:type="spellEnd"/>
      <w:r>
        <w:rPr>
          <w:rFonts w:asciiTheme="majorBidi" w:eastAsia="Times New Roman" w:hAnsiTheme="majorBidi" w:cstheme="majorBidi"/>
          <w:color w:val="000000"/>
          <w:sz w:val="28"/>
          <w:szCs w:val="28"/>
        </w:rPr>
        <w:t xml:space="preserve"> derivatives, </w:t>
      </w:r>
      <w:proofErr w:type="spellStart"/>
      <w:r>
        <w:rPr>
          <w:rFonts w:asciiTheme="majorBidi" w:eastAsia="Times New Roman" w:hAnsiTheme="majorBidi" w:cstheme="majorBidi"/>
          <w:b/>
          <w:bCs/>
          <w:color w:val="000000"/>
          <w:sz w:val="28"/>
          <w:szCs w:val="28"/>
        </w:rPr>
        <w:t>oxymetazoline</w:t>
      </w:r>
      <w:proofErr w:type="spellEnd"/>
      <w:r>
        <w:rPr>
          <w:rFonts w:asciiTheme="majorBidi" w:eastAsia="Times New Roman" w:hAnsiTheme="majorBidi" w:cstheme="majorBidi"/>
          <w:b/>
          <w:bCs/>
          <w:color w:val="000000"/>
          <w:sz w:val="28"/>
          <w:szCs w:val="28"/>
        </w:rPr>
        <w:t xml:space="preserve">, </w:t>
      </w:r>
      <w:proofErr w:type="spellStart"/>
      <w:r>
        <w:rPr>
          <w:rFonts w:asciiTheme="majorBidi" w:eastAsia="Times New Roman" w:hAnsiTheme="majorBidi" w:cstheme="majorBidi"/>
          <w:b/>
          <w:bCs/>
          <w:color w:val="000000"/>
          <w:sz w:val="28"/>
          <w:szCs w:val="28"/>
        </w:rPr>
        <w:t>xylometazoline</w:t>
      </w:r>
      <w:proofErr w:type="spellEnd"/>
      <w:r>
        <w:rPr>
          <w:rFonts w:asciiTheme="majorBidi" w:eastAsia="Times New Roman" w:hAnsiTheme="majorBidi" w:cstheme="majorBidi"/>
          <w:b/>
          <w:bCs/>
          <w:color w:val="000000"/>
          <w:sz w:val="28"/>
          <w:szCs w:val="28"/>
        </w:rPr>
        <w:t xml:space="preserve">, </w:t>
      </w:r>
      <w:proofErr w:type="spellStart"/>
      <w:r>
        <w:rPr>
          <w:rFonts w:asciiTheme="majorBidi" w:eastAsia="Times New Roman" w:hAnsiTheme="majorBidi" w:cstheme="majorBidi"/>
          <w:b/>
          <w:bCs/>
          <w:color w:val="000000"/>
          <w:sz w:val="28"/>
          <w:szCs w:val="28"/>
        </w:rPr>
        <w:t>tetrahydrozoline</w:t>
      </w:r>
      <w:proofErr w:type="spellEnd"/>
      <w:r>
        <w:rPr>
          <w:rFonts w:asciiTheme="majorBidi" w:eastAsia="Times New Roman" w:hAnsiTheme="majorBidi" w:cstheme="majorBidi"/>
          <w:b/>
          <w:bCs/>
          <w:color w:val="000000"/>
          <w:sz w:val="28"/>
          <w:szCs w:val="28"/>
        </w:rPr>
        <w:t xml:space="preserve"> and </w:t>
      </w:r>
      <w:proofErr w:type="spellStart"/>
      <w:r>
        <w:rPr>
          <w:rFonts w:asciiTheme="majorBidi" w:eastAsia="Times New Roman" w:hAnsiTheme="majorBidi" w:cstheme="majorBidi"/>
          <w:b/>
          <w:bCs/>
          <w:color w:val="000000"/>
          <w:sz w:val="28"/>
          <w:szCs w:val="28"/>
        </w:rPr>
        <w:t>naphazoline</w:t>
      </w:r>
      <w:proofErr w:type="spellEnd"/>
      <w:r>
        <w:rPr>
          <w:rFonts w:asciiTheme="majorBidi" w:eastAsia="Times New Roman" w:hAnsiTheme="majorBidi" w:cstheme="majorBidi"/>
          <w:b/>
          <w:bCs/>
          <w:color w:val="000000"/>
          <w:sz w:val="28"/>
          <w:szCs w:val="28"/>
        </w:rPr>
        <w:t xml:space="preserve">, </w:t>
      </w:r>
      <w:r w:rsidR="003F2B62" w:rsidRPr="003F2B62">
        <w:rPr>
          <w:rFonts w:asciiTheme="majorBidi" w:eastAsia="Times New Roman" w:hAnsiTheme="majorBidi" w:cstheme="majorBidi"/>
          <w:color w:val="000000"/>
          <w:sz w:val="28"/>
          <w:szCs w:val="28"/>
        </w:rPr>
        <w:t>are found in topical ophthalmic and nasal decongestants available OTC. They are generally used as topical vasoconstrictors in the nose and eyes for temporary relief of nasal congestion due to colds, hay fever or other upper respiratory allergies, or sinusitis.</w:t>
      </w:r>
    </w:p>
    <w:p w:rsidR="003F2B62" w:rsidRPr="003F2B62" w:rsidRDefault="003F2B62" w:rsidP="003F2B62">
      <w:pPr>
        <w:shd w:val="clear" w:color="auto" w:fill="FFFFFF"/>
        <w:bidi w:val="0"/>
        <w:spacing w:after="0"/>
        <w:jc w:val="both"/>
        <w:rPr>
          <w:rFonts w:asciiTheme="majorBidi" w:eastAsia="Times New Roman" w:hAnsiTheme="majorBidi" w:cstheme="majorBidi"/>
          <w:color w:val="000000"/>
          <w:sz w:val="28"/>
          <w:szCs w:val="28"/>
        </w:rPr>
      </w:pPr>
      <w:bookmarkStart w:id="1" w:name="v3352775"/>
      <w:bookmarkEnd w:id="1"/>
      <w:proofErr w:type="spellStart"/>
      <w:r w:rsidRPr="003F2B62">
        <w:rPr>
          <w:rFonts w:asciiTheme="majorBidi" w:eastAsia="Times New Roman" w:hAnsiTheme="majorBidi" w:cstheme="majorBidi"/>
          <w:color w:val="000000"/>
          <w:sz w:val="28"/>
          <w:szCs w:val="28"/>
        </w:rPr>
        <w:t>Imidazolines</w:t>
      </w:r>
      <w:proofErr w:type="spellEnd"/>
      <w:r w:rsidRPr="003F2B62">
        <w:rPr>
          <w:rFonts w:asciiTheme="majorBidi" w:eastAsia="Times New Roman" w:hAnsiTheme="majorBidi" w:cstheme="majorBidi"/>
          <w:color w:val="000000"/>
          <w:sz w:val="28"/>
          <w:szCs w:val="28"/>
        </w:rPr>
        <w:t xml:space="preserve"> are sympathomimetic agents, with primary effects on α-adrenergic receptors and little if any effect on β-adrenergic receptors. </w:t>
      </w:r>
      <w:proofErr w:type="spellStart"/>
      <w:r w:rsidRPr="003F2B62">
        <w:rPr>
          <w:rFonts w:asciiTheme="majorBidi" w:eastAsia="Times New Roman" w:hAnsiTheme="majorBidi" w:cstheme="majorBidi"/>
          <w:color w:val="000000"/>
          <w:sz w:val="28"/>
          <w:szCs w:val="28"/>
        </w:rPr>
        <w:t>Oxymetazoline</w:t>
      </w:r>
      <w:proofErr w:type="spellEnd"/>
      <w:r w:rsidRPr="003F2B62">
        <w:rPr>
          <w:rFonts w:asciiTheme="majorBidi" w:eastAsia="Times New Roman" w:hAnsiTheme="majorBidi" w:cstheme="majorBidi"/>
          <w:color w:val="000000"/>
          <w:sz w:val="28"/>
          <w:szCs w:val="28"/>
        </w:rPr>
        <w:t xml:space="preserve"> is readily absorbed orally. Effects on α-receptors from systemically absorbed </w:t>
      </w:r>
      <w:proofErr w:type="spellStart"/>
      <w:r w:rsidRPr="003F2B62">
        <w:rPr>
          <w:rFonts w:asciiTheme="majorBidi" w:eastAsia="Times New Roman" w:hAnsiTheme="majorBidi" w:cstheme="majorBidi"/>
          <w:color w:val="000000"/>
          <w:sz w:val="28"/>
          <w:szCs w:val="28"/>
        </w:rPr>
        <w:t>oxymetazoline</w:t>
      </w:r>
      <w:proofErr w:type="spellEnd"/>
      <w:r w:rsidRPr="003F2B62">
        <w:rPr>
          <w:rFonts w:asciiTheme="majorBidi" w:eastAsia="Times New Roman" w:hAnsiTheme="majorBidi" w:cstheme="majorBidi"/>
          <w:color w:val="000000"/>
          <w:sz w:val="28"/>
          <w:szCs w:val="28"/>
        </w:rPr>
        <w:t xml:space="preserve"> hydrochloride may persist for up to 7 hr after a single dose. The elimination half-life in people is 5–8 hr. It is excreted unchanged both by the kidneys (30%) and in feces (10%).</w:t>
      </w:r>
    </w:p>
    <w:p w:rsidR="00254E4E" w:rsidRDefault="00254E4E" w:rsidP="003F2B62">
      <w:pPr>
        <w:shd w:val="clear" w:color="auto" w:fill="FFFFFF"/>
        <w:bidi w:val="0"/>
        <w:spacing w:after="45"/>
        <w:jc w:val="both"/>
        <w:outlineLvl w:val="2"/>
        <w:rPr>
          <w:rFonts w:asciiTheme="majorBidi" w:eastAsia="Times New Roman" w:hAnsiTheme="majorBidi" w:cstheme="majorBidi"/>
          <w:b/>
          <w:bCs/>
          <w:color w:val="000000"/>
          <w:sz w:val="28"/>
          <w:szCs w:val="28"/>
        </w:rPr>
      </w:pPr>
      <w:bookmarkStart w:id="2" w:name="v3352777"/>
      <w:bookmarkStart w:id="3" w:name="Clinical_Findings"/>
      <w:bookmarkEnd w:id="2"/>
    </w:p>
    <w:p w:rsidR="003F2B62" w:rsidRPr="003F2B62" w:rsidRDefault="003F2B62" w:rsidP="00254E4E">
      <w:pPr>
        <w:shd w:val="clear" w:color="auto" w:fill="FFFFFF"/>
        <w:bidi w:val="0"/>
        <w:spacing w:after="45"/>
        <w:jc w:val="both"/>
        <w:outlineLvl w:val="2"/>
        <w:rPr>
          <w:rFonts w:asciiTheme="majorBidi" w:eastAsia="Times New Roman" w:hAnsiTheme="majorBidi" w:cstheme="majorBidi"/>
          <w:b/>
          <w:bCs/>
          <w:color w:val="000000"/>
          <w:sz w:val="28"/>
          <w:szCs w:val="28"/>
        </w:rPr>
      </w:pPr>
      <w:r w:rsidRPr="003F2B62">
        <w:rPr>
          <w:rFonts w:asciiTheme="majorBidi" w:eastAsia="Times New Roman" w:hAnsiTheme="majorBidi" w:cstheme="majorBidi"/>
          <w:b/>
          <w:bCs/>
          <w:color w:val="000000"/>
          <w:sz w:val="28"/>
          <w:szCs w:val="28"/>
        </w:rPr>
        <w:t>Clinical Findings</w:t>
      </w:r>
    </w:p>
    <w:p w:rsidR="003F2B62" w:rsidRPr="003F2B62" w:rsidRDefault="003F2B62" w:rsidP="00D5738E">
      <w:pPr>
        <w:shd w:val="clear" w:color="auto" w:fill="FFFFFF"/>
        <w:bidi w:val="0"/>
        <w:spacing w:after="0"/>
        <w:jc w:val="both"/>
        <w:rPr>
          <w:rFonts w:asciiTheme="majorBidi" w:eastAsia="Times New Roman" w:hAnsiTheme="majorBidi" w:cstheme="majorBidi"/>
          <w:color w:val="000000"/>
          <w:sz w:val="28"/>
          <w:szCs w:val="28"/>
        </w:rPr>
      </w:pPr>
      <w:bookmarkStart w:id="4" w:name="v3352778"/>
      <w:bookmarkEnd w:id="4"/>
      <w:r w:rsidRPr="003F2B62">
        <w:rPr>
          <w:rFonts w:asciiTheme="majorBidi" w:eastAsia="Times New Roman" w:hAnsiTheme="majorBidi" w:cstheme="majorBidi"/>
          <w:color w:val="000000"/>
          <w:sz w:val="28"/>
          <w:szCs w:val="28"/>
        </w:rPr>
        <w:t>signs of intoxication may include vomiting, bradycardia, cardiac arrhythmias, hypotension or hypertension, panting, increased upper respiratory sounds, depression,</w:t>
      </w:r>
      <w:r w:rsidR="00A13BC2">
        <w:rPr>
          <w:rFonts w:asciiTheme="majorBidi" w:eastAsia="Times New Roman" w:hAnsiTheme="majorBidi" w:cstheme="majorBidi"/>
          <w:color w:val="000000"/>
          <w:sz w:val="28"/>
          <w:szCs w:val="28"/>
        </w:rPr>
        <w:t xml:space="preserve"> nervousness and</w:t>
      </w:r>
      <w:r w:rsidR="00CD17F8">
        <w:rPr>
          <w:rFonts w:asciiTheme="majorBidi" w:eastAsia="Times New Roman" w:hAnsiTheme="majorBidi" w:cstheme="majorBidi"/>
          <w:color w:val="000000"/>
          <w:sz w:val="28"/>
          <w:szCs w:val="28"/>
        </w:rPr>
        <w:t xml:space="preserve"> </w:t>
      </w:r>
      <w:r w:rsidRPr="003F2B62">
        <w:rPr>
          <w:rFonts w:asciiTheme="majorBidi" w:eastAsia="Times New Roman" w:hAnsiTheme="majorBidi" w:cstheme="majorBidi"/>
          <w:color w:val="000000"/>
          <w:sz w:val="28"/>
          <w:szCs w:val="28"/>
        </w:rPr>
        <w:t>weak</w:t>
      </w:r>
      <w:r w:rsidR="001116D2">
        <w:rPr>
          <w:rFonts w:asciiTheme="majorBidi" w:eastAsia="Times New Roman" w:hAnsiTheme="majorBidi" w:cstheme="majorBidi"/>
          <w:color w:val="000000"/>
          <w:sz w:val="28"/>
          <w:szCs w:val="28"/>
        </w:rPr>
        <w:t>ness</w:t>
      </w:r>
      <w:r w:rsidRPr="003F2B62">
        <w:rPr>
          <w:rFonts w:asciiTheme="majorBidi" w:eastAsia="Times New Roman" w:hAnsiTheme="majorBidi" w:cstheme="majorBidi"/>
          <w:color w:val="000000"/>
          <w:sz w:val="28"/>
          <w:szCs w:val="28"/>
        </w:rPr>
        <w:t xml:space="preserve">. These signs usually appear within 30 min to 4 hr after exposure. </w:t>
      </w:r>
    </w:p>
    <w:p w:rsidR="00BB0831" w:rsidRDefault="00BB0831" w:rsidP="003F2B62">
      <w:pPr>
        <w:shd w:val="clear" w:color="auto" w:fill="FFFFFF"/>
        <w:bidi w:val="0"/>
        <w:spacing w:after="45"/>
        <w:jc w:val="both"/>
        <w:outlineLvl w:val="2"/>
        <w:rPr>
          <w:rFonts w:asciiTheme="majorBidi" w:eastAsia="Times New Roman" w:hAnsiTheme="majorBidi" w:cstheme="majorBidi"/>
          <w:b/>
          <w:bCs/>
          <w:color w:val="000000"/>
          <w:sz w:val="28"/>
          <w:szCs w:val="28"/>
        </w:rPr>
      </w:pPr>
      <w:bookmarkStart w:id="5" w:name="v3352780"/>
      <w:bookmarkStart w:id="6" w:name="Treatment"/>
      <w:bookmarkEnd w:id="5"/>
    </w:p>
    <w:p w:rsidR="003F2B62" w:rsidRPr="003F2B62" w:rsidRDefault="003F2B62" w:rsidP="00BB0831">
      <w:pPr>
        <w:shd w:val="clear" w:color="auto" w:fill="FFFFFF"/>
        <w:bidi w:val="0"/>
        <w:spacing w:after="45"/>
        <w:jc w:val="both"/>
        <w:outlineLvl w:val="2"/>
        <w:rPr>
          <w:rFonts w:asciiTheme="majorBidi" w:eastAsia="Times New Roman" w:hAnsiTheme="majorBidi" w:cstheme="majorBidi"/>
          <w:b/>
          <w:bCs/>
          <w:color w:val="000000"/>
          <w:sz w:val="28"/>
          <w:szCs w:val="28"/>
        </w:rPr>
      </w:pPr>
      <w:r w:rsidRPr="003F2B62">
        <w:rPr>
          <w:rFonts w:asciiTheme="majorBidi" w:eastAsia="Times New Roman" w:hAnsiTheme="majorBidi" w:cstheme="majorBidi"/>
          <w:b/>
          <w:bCs/>
          <w:color w:val="000000"/>
          <w:sz w:val="28"/>
          <w:szCs w:val="28"/>
        </w:rPr>
        <w:t>Treatment</w:t>
      </w:r>
    </w:p>
    <w:p w:rsidR="00A13BC2" w:rsidRDefault="003F2B62" w:rsidP="00A13BC2">
      <w:pPr>
        <w:pStyle w:val="a3"/>
        <w:numPr>
          <w:ilvl w:val="0"/>
          <w:numId w:val="1"/>
        </w:numPr>
        <w:shd w:val="clear" w:color="auto" w:fill="FFFFFF"/>
        <w:bidi w:val="0"/>
        <w:spacing w:after="0"/>
        <w:jc w:val="both"/>
        <w:rPr>
          <w:rFonts w:asciiTheme="majorBidi" w:eastAsia="Times New Roman" w:hAnsiTheme="majorBidi" w:cstheme="majorBidi"/>
          <w:color w:val="000000"/>
          <w:sz w:val="28"/>
          <w:szCs w:val="28"/>
        </w:rPr>
      </w:pPr>
      <w:bookmarkStart w:id="7" w:name="v3352781"/>
      <w:bookmarkEnd w:id="7"/>
      <w:r w:rsidRPr="00A13BC2">
        <w:rPr>
          <w:rFonts w:asciiTheme="majorBidi" w:eastAsia="Times New Roman" w:hAnsiTheme="majorBidi" w:cstheme="majorBidi"/>
          <w:color w:val="000000"/>
          <w:sz w:val="28"/>
          <w:szCs w:val="28"/>
        </w:rPr>
        <w:t xml:space="preserve">Decontamination (induction of emesis and administration of activated charcoal) may not be practical because of the rapid absorption and onset of clinical signs. </w:t>
      </w:r>
    </w:p>
    <w:p w:rsidR="00A13BC2" w:rsidRDefault="003F2B62" w:rsidP="00A13BC2">
      <w:pPr>
        <w:pStyle w:val="a3"/>
        <w:numPr>
          <w:ilvl w:val="0"/>
          <w:numId w:val="1"/>
        </w:numPr>
        <w:shd w:val="clear" w:color="auto" w:fill="FFFFFF"/>
        <w:bidi w:val="0"/>
        <w:spacing w:after="0"/>
        <w:jc w:val="both"/>
        <w:rPr>
          <w:rFonts w:asciiTheme="majorBidi" w:eastAsia="Times New Roman" w:hAnsiTheme="majorBidi" w:cstheme="majorBidi"/>
          <w:color w:val="000000"/>
          <w:sz w:val="28"/>
          <w:szCs w:val="28"/>
        </w:rPr>
      </w:pPr>
      <w:r w:rsidRPr="00A13BC2">
        <w:rPr>
          <w:rFonts w:asciiTheme="majorBidi" w:eastAsia="Times New Roman" w:hAnsiTheme="majorBidi" w:cstheme="majorBidi"/>
          <w:color w:val="000000"/>
          <w:sz w:val="28"/>
          <w:szCs w:val="28"/>
        </w:rPr>
        <w:t xml:space="preserve">Heart rate and rhythm and blood pressure should be assessed, and an ECG obtained if needed. IV fluids should be given, along with atropine at 0.02 mg/kg, IV, if bradycardia is present. </w:t>
      </w:r>
    </w:p>
    <w:p w:rsidR="00F47EAB" w:rsidRDefault="003F2B62" w:rsidP="00DD21E8">
      <w:pPr>
        <w:pStyle w:val="a3"/>
        <w:numPr>
          <w:ilvl w:val="0"/>
          <w:numId w:val="1"/>
        </w:numPr>
        <w:shd w:val="clear" w:color="auto" w:fill="FFFFFF"/>
        <w:bidi w:val="0"/>
        <w:spacing w:after="0"/>
        <w:jc w:val="both"/>
        <w:rPr>
          <w:rFonts w:asciiTheme="majorBidi" w:eastAsia="Times New Roman" w:hAnsiTheme="majorBidi" w:cstheme="majorBidi"/>
          <w:color w:val="000000"/>
          <w:sz w:val="28"/>
          <w:szCs w:val="28"/>
        </w:rPr>
      </w:pPr>
      <w:r w:rsidRPr="00A13BC2">
        <w:rPr>
          <w:rFonts w:asciiTheme="majorBidi" w:eastAsia="Times New Roman" w:hAnsiTheme="majorBidi" w:cstheme="majorBidi"/>
          <w:color w:val="000000"/>
          <w:sz w:val="28"/>
          <w:szCs w:val="28"/>
        </w:rPr>
        <w:t xml:space="preserve">Diazepam (0.25–0.5 mg/kg, IV) can be given if CNS signs are present. </w:t>
      </w:r>
    </w:p>
    <w:p w:rsidR="00F47EAB" w:rsidRDefault="003F2B62" w:rsidP="00F47EAB">
      <w:pPr>
        <w:pStyle w:val="a3"/>
        <w:numPr>
          <w:ilvl w:val="0"/>
          <w:numId w:val="1"/>
        </w:numPr>
        <w:shd w:val="clear" w:color="auto" w:fill="FFFFFF"/>
        <w:bidi w:val="0"/>
        <w:spacing w:after="0"/>
        <w:jc w:val="both"/>
        <w:rPr>
          <w:rFonts w:asciiTheme="majorBidi" w:eastAsia="Times New Roman" w:hAnsiTheme="majorBidi" w:cstheme="majorBidi"/>
          <w:color w:val="000000"/>
          <w:sz w:val="28"/>
          <w:szCs w:val="28"/>
        </w:rPr>
      </w:pPr>
      <w:r w:rsidRPr="00A13BC2">
        <w:rPr>
          <w:rFonts w:asciiTheme="majorBidi" w:eastAsia="Times New Roman" w:hAnsiTheme="majorBidi" w:cstheme="majorBidi"/>
          <w:color w:val="000000"/>
          <w:sz w:val="28"/>
          <w:szCs w:val="28"/>
        </w:rPr>
        <w:t>Serum electrolytes (</w:t>
      </w:r>
      <w:proofErr w:type="spellStart"/>
      <w:r w:rsidRPr="00A13BC2">
        <w:rPr>
          <w:rFonts w:asciiTheme="majorBidi" w:eastAsia="Times New Roman" w:hAnsiTheme="majorBidi" w:cstheme="majorBidi"/>
          <w:color w:val="000000"/>
          <w:sz w:val="28"/>
          <w:szCs w:val="28"/>
        </w:rPr>
        <w:t>ie</w:t>
      </w:r>
      <w:proofErr w:type="spellEnd"/>
      <w:r w:rsidRPr="00A13BC2">
        <w:rPr>
          <w:rFonts w:asciiTheme="majorBidi" w:eastAsia="Times New Roman" w:hAnsiTheme="majorBidi" w:cstheme="majorBidi"/>
          <w:color w:val="000000"/>
          <w:sz w:val="28"/>
          <w:szCs w:val="28"/>
        </w:rPr>
        <w:t xml:space="preserve">, potassium, sodium, chloride) should be assessed and corrected as needed. </w:t>
      </w:r>
    </w:p>
    <w:p w:rsidR="003F2B62" w:rsidRPr="00A13BC2" w:rsidRDefault="003F2B62" w:rsidP="00F47EAB">
      <w:pPr>
        <w:pStyle w:val="a3"/>
        <w:numPr>
          <w:ilvl w:val="0"/>
          <w:numId w:val="1"/>
        </w:numPr>
        <w:shd w:val="clear" w:color="auto" w:fill="FFFFFF"/>
        <w:bidi w:val="0"/>
        <w:spacing w:after="0"/>
        <w:jc w:val="both"/>
        <w:rPr>
          <w:rFonts w:asciiTheme="majorBidi" w:eastAsia="Times New Roman" w:hAnsiTheme="majorBidi" w:cstheme="majorBidi"/>
          <w:color w:val="000000"/>
          <w:sz w:val="28"/>
          <w:szCs w:val="28"/>
        </w:rPr>
      </w:pPr>
      <w:proofErr w:type="spellStart"/>
      <w:r w:rsidRPr="00A13BC2">
        <w:rPr>
          <w:rFonts w:asciiTheme="majorBidi" w:eastAsia="Times New Roman" w:hAnsiTheme="majorBidi" w:cstheme="majorBidi"/>
          <w:color w:val="000000"/>
          <w:sz w:val="28"/>
          <w:szCs w:val="28"/>
        </w:rPr>
        <w:t>Yohimbine</w:t>
      </w:r>
      <w:proofErr w:type="spellEnd"/>
      <w:r w:rsidRPr="00A13BC2">
        <w:rPr>
          <w:rFonts w:asciiTheme="majorBidi" w:eastAsia="Times New Roman" w:hAnsiTheme="majorBidi" w:cstheme="majorBidi"/>
          <w:color w:val="000000"/>
          <w:sz w:val="28"/>
          <w:szCs w:val="28"/>
        </w:rPr>
        <w:t>, a specific α</w:t>
      </w:r>
      <w:r w:rsidRPr="00A13BC2">
        <w:rPr>
          <w:rFonts w:asciiTheme="majorBidi" w:eastAsia="Times New Roman" w:hAnsiTheme="majorBidi" w:cstheme="majorBidi"/>
          <w:color w:val="000000"/>
          <w:sz w:val="28"/>
          <w:szCs w:val="28"/>
          <w:vertAlign w:val="subscript"/>
        </w:rPr>
        <w:t>2</w:t>
      </w:r>
      <w:r w:rsidRPr="00A13BC2">
        <w:rPr>
          <w:rFonts w:asciiTheme="majorBidi" w:eastAsia="Times New Roman" w:hAnsiTheme="majorBidi" w:cstheme="majorBidi"/>
          <w:color w:val="000000"/>
          <w:sz w:val="28"/>
          <w:szCs w:val="28"/>
        </w:rPr>
        <w:t xml:space="preserve">-adrenergic antagonist, can also be used at 0.1 mg/kg, IV, and repeated in 2–3 hr if needed. </w:t>
      </w:r>
    </w:p>
    <w:p w:rsidR="00D62FF8" w:rsidRDefault="00D62FF8" w:rsidP="00A247DD">
      <w:pPr>
        <w:shd w:val="clear" w:color="auto" w:fill="FFFFFF"/>
        <w:bidi w:val="0"/>
        <w:spacing w:after="45"/>
        <w:jc w:val="both"/>
        <w:outlineLvl w:val="1"/>
        <w:rPr>
          <w:rFonts w:asciiTheme="majorBidi" w:eastAsia="Times New Roman" w:hAnsiTheme="majorBidi" w:cstheme="majorBidi"/>
          <w:b/>
          <w:bCs/>
          <w:caps/>
          <w:color w:val="000000"/>
          <w:sz w:val="28"/>
          <w:szCs w:val="28"/>
        </w:rPr>
      </w:pPr>
      <w:bookmarkStart w:id="8" w:name="v3352783"/>
      <w:bookmarkEnd w:id="8"/>
    </w:p>
    <w:p w:rsidR="003F2B62" w:rsidRPr="00A247DD" w:rsidRDefault="00DF60E6" w:rsidP="00D62FF8">
      <w:pPr>
        <w:shd w:val="clear" w:color="auto" w:fill="FFFFFF"/>
        <w:bidi w:val="0"/>
        <w:spacing w:after="45"/>
        <w:jc w:val="both"/>
        <w:outlineLvl w:val="1"/>
        <w:rPr>
          <w:rFonts w:asciiTheme="majorBidi" w:eastAsia="Times New Roman" w:hAnsiTheme="majorBidi" w:cstheme="majorBidi"/>
          <w:b/>
          <w:bCs/>
          <w:caps/>
          <w:color w:val="000000"/>
          <w:sz w:val="28"/>
          <w:szCs w:val="28"/>
        </w:rPr>
      </w:pPr>
      <w:r>
        <w:rPr>
          <w:rFonts w:asciiTheme="majorBidi" w:eastAsia="Times New Roman" w:hAnsiTheme="majorBidi" w:cstheme="majorBidi"/>
          <w:b/>
          <w:bCs/>
          <w:caps/>
          <w:color w:val="000000"/>
          <w:sz w:val="28"/>
          <w:szCs w:val="28"/>
        </w:rPr>
        <w:lastRenderedPageBreak/>
        <w:t xml:space="preserve">2- </w:t>
      </w:r>
      <w:r w:rsidR="003F2B62" w:rsidRPr="00A247DD">
        <w:rPr>
          <w:rFonts w:asciiTheme="majorBidi" w:eastAsia="Times New Roman" w:hAnsiTheme="majorBidi" w:cstheme="majorBidi"/>
          <w:b/>
          <w:bCs/>
          <w:caps/>
          <w:color w:val="000000"/>
          <w:sz w:val="28"/>
          <w:szCs w:val="28"/>
        </w:rPr>
        <w:t>P</w:t>
      </w:r>
      <w:r w:rsidR="00A247DD" w:rsidRPr="00A247DD">
        <w:rPr>
          <w:rFonts w:asciiTheme="majorBidi" w:eastAsia="Times New Roman" w:hAnsiTheme="majorBidi" w:cstheme="majorBidi"/>
          <w:b/>
          <w:bCs/>
          <w:color w:val="000000"/>
          <w:sz w:val="28"/>
          <w:szCs w:val="28"/>
        </w:rPr>
        <w:t>henylephrine</w:t>
      </w:r>
    </w:p>
    <w:p w:rsidR="003F2B62" w:rsidRPr="003F2B62" w:rsidRDefault="003F2B62" w:rsidP="00A247DD">
      <w:pPr>
        <w:shd w:val="clear" w:color="auto" w:fill="FFFFFF"/>
        <w:bidi w:val="0"/>
        <w:spacing w:after="0"/>
        <w:jc w:val="both"/>
        <w:rPr>
          <w:rFonts w:asciiTheme="majorBidi" w:eastAsia="Times New Roman" w:hAnsiTheme="majorBidi" w:cstheme="majorBidi"/>
          <w:color w:val="000000"/>
          <w:sz w:val="28"/>
          <w:szCs w:val="28"/>
        </w:rPr>
      </w:pPr>
      <w:bookmarkStart w:id="9" w:name="v3352785"/>
      <w:bookmarkEnd w:id="9"/>
      <w:r w:rsidRPr="003F2B62">
        <w:rPr>
          <w:rFonts w:asciiTheme="majorBidi" w:eastAsia="Times New Roman" w:hAnsiTheme="majorBidi" w:cstheme="majorBidi"/>
          <w:color w:val="000000"/>
          <w:sz w:val="28"/>
          <w:szCs w:val="28"/>
        </w:rPr>
        <w:t>Phenylephrine is a sympathomimetic amine with mainly an α</w:t>
      </w:r>
      <w:r w:rsidRPr="003F2B62">
        <w:rPr>
          <w:rFonts w:asciiTheme="majorBidi" w:eastAsia="Times New Roman" w:hAnsiTheme="majorBidi" w:cstheme="majorBidi"/>
          <w:color w:val="000000"/>
          <w:sz w:val="28"/>
          <w:szCs w:val="28"/>
          <w:vertAlign w:val="subscript"/>
        </w:rPr>
        <w:t>1</w:t>
      </w:r>
      <w:r w:rsidRPr="003F2B62">
        <w:rPr>
          <w:rFonts w:asciiTheme="majorBidi" w:eastAsia="Times New Roman" w:hAnsiTheme="majorBidi" w:cstheme="majorBidi"/>
          <w:color w:val="000000"/>
          <w:sz w:val="28"/>
          <w:szCs w:val="28"/>
        </w:rPr>
        <w:t xml:space="preserve">-adrenergic receptor agonist effect, available OTC as a decongestant in </w:t>
      </w:r>
      <w:r w:rsidR="00A247DD">
        <w:rPr>
          <w:rFonts w:asciiTheme="majorBidi" w:eastAsia="Times New Roman" w:hAnsiTheme="majorBidi" w:cstheme="majorBidi"/>
          <w:color w:val="000000"/>
          <w:sz w:val="28"/>
          <w:szCs w:val="28"/>
        </w:rPr>
        <w:t>oral  tablets, nasal sprays, or eye drops</w:t>
      </w:r>
      <w:r w:rsidRPr="003F2B62">
        <w:rPr>
          <w:rFonts w:asciiTheme="majorBidi" w:eastAsia="Times New Roman" w:hAnsiTheme="majorBidi" w:cstheme="majorBidi"/>
          <w:color w:val="000000"/>
          <w:sz w:val="28"/>
          <w:szCs w:val="28"/>
        </w:rPr>
        <w:t xml:space="preserve">. It has poor oral bioavailability (38%) in people because of a significant first-pass effect and extensive metabolism by monoamine oxidases in the GI tract and liver. The half-life is 2–3 hr. CNS stimulation, agitation, nervousness, and hypertension are possible but less frequent with phenylephrine than with pseudoephedrine. Treatment is mainly symptomatic care and is similar to that for pseudoephedrine </w:t>
      </w:r>
      <w:proofErr w:type="spellStart"/>
      <w:r w:rsidRPr="003F2B62">
        <w:rPr>
          <w:rFonts w:asciiTheme="majorBidi" w:eastAsia="Times New Roman" w:hAnsiTheme="majorBidi" w:cstheme="majorBidi"/>
          <w:color w:val="000000"/>
          <w:sz w:val="28"/>
          <w:szCs w:val="28"/>
        </w:rPr>
        <w:t>toxicosis</w:t>
      </w:r>
      <w:proofErr w:type="spellEnd"/>
      <w:r w:rsidRPr="003F2B62">
        <w:rPr>
          <w:rFonts w:asciiTheme="majorBidi" w:eastAsia="Times New Roman" w:hAnsiTheme="majorBidi" w:cstheme="majorBidi"/>
          <w:color w:val="000000"/>
          <w:sz w:val="28"/>
          <w:szCs w:val="28"/>
        </w:rPr>
        <w:t xml:space="preserve"> (see below).</w:t>
      </w:r>
    </w:p>
    <w:p w:rsidR="00A247DD" w:rsidRDefault="00A247DD" w:rsidP="003F2B62">
      <w:pPr>
        <w:shd w:val="clear" w:color="auto" w:fill="FFFFFF"/>
        <w:bidi w:val="0"/>
        <w:spacing w:after="45"/>
        <w:jc w:val="both"/>
        <w:outlineLvl w:val="1"/>
        <w:rPr>
          <w:rFonts w:asciiTheme="majorBidi" w:eastAsia="Times New Roman" w:hAnsiTheme="majorBidi" w:cstheme="majorBidi"/>
          <w:b/>
          <w:bCs/>
          <w:caps/>
          <w:color w:val="000000"/>
          <w:sz w:val="28"/>
          <w:szCs w:val="28"/>
        </w:rPr>
      </w:pPr>
      <w:bookmarkStart w:id="10" w:name="v3352788"/>
      <w:bookmarkEnd w:id="10"/>
    </w:p>
    <w:p w:rsidR="003F2B62" w:rsidRPr="003F2B62" w:rsidRDefault="003F2B62" w:rsidP="00A247DD">
      <w:pPr>
        <w:shd w:val="clear" w:color="auto" w:fill="FFFFFF"/>
        <w:bidi w:val="0"/>
        <w:spacing w:after="45"/>
        <w:jc w:val="both"/>
        <w:outlineLvl w:val="1"/>
        <w:rPr>
          <w:rFonts w:asciiTheme="majorBidi" w:eastAsia="Times New Roman" w:hAnsiTheme="majorBidi" w:cstheme="majorBidi"/>
          <w:b/>
          <w:bCs/>
          <w:caps/>
          <w:color w:val="000000"/>
          <w:sz w:val="28"/>
          <w:szCs w:val="28"/>
        </w:rPr>
      </w:pPr>
      <w:r w:rsidRPr="003F2B62">
        <w:rPr>
          <w:rFonts w:asciiTheme="majorBidi" w:eastAsia="Times New Roman" w:hAnsiTheme="majorBidi" w:cstheme="majorBidi"/>
          <w:b/>
          <w:bCs/>
          <w:caps/>
          <w:color w:val="000000"/>
          <w:sz w:val="28"/>
          <w:szCs w:val="28"/>
        </w:rPr>
        <w:t>PSEUDOEPHEDRINE AND EPHEDRINE</w:t>
      </w:r>
    </w:p>
    <w:p w:rsidR="003F2B62" w:rsidRPr="003F2B62" w:rsidRDefault="003F2B62" w:rsidP="003F2B62">
      <w:pPr>
        <w:shd w:val="clear" w:color="auto" w:fill="FFFFFF"/>
        <w:bidi w:val="0"/>
        <w:spacing w:after="0"/>
        <w:jc w:val="both"/>
        <w:rPr>
          <w:rFonts w:asciiTheme="majorBidi" w:eastAsia="Times New Roman" w:hAnsiTheme="majorBidi" w:cstheme="majorBidi"/>
          <w:color w:val="000000"/>
          <w:sz w:val="28"/>
          <w:szCs w:val="28"/>
        </w:rPr>
      </w:pPr>
      <w:bookmarkStart w:id="11" w:name="v3352793"/>
      <w:bookmarkEnd w:id="11"/>
      <w:r w:rsidRPr="003F2B62">
        <w:rPr>
          <w:rFonts w:asciiTheme="majorBidi" w:eastAsia="Times New Roman" w:hAnsiTheme="majorBidi" w:cstheme="majorBidi"/>
          <w:color w:val="000000"/>
          <w:sz w:val="28"/>
          <w:szCs w:val="28"/>
        </w:rPr>
        <w:t>Pseudoephedrine is a sympathomimetic drug found naturally in plants of the genus </w:t>
      </w:r>
      <w:r w:rsidRPr="003F2B62">
        <w:rPr>
          <w:rFonts w:asciiTheme="majorBidi" w:eastAsia="Times New Roman" w:hAnsiTheme="majorBidi" w:cstheme="majorBidi"/>
          <w:i/>
          <w:iCs/>
          <w:color w:val="000000"/>
          <w:sz w:val="28"/>
          <w:szCs w:val="28"/>
        </w:rPr>
        <w:t>Ephedra</w:t>
      </w:r>
      <w:r w:rsidRPr="003F2B62">
        <w:rPr>
          <w:rFonts w:asciiTheme="majorBidi" w:eastAsia="Times New Roman" w:hAnsiTheme="majorBidi" w:cstheme="majorBidi"/>
          <w:color w:val="000000"/>
          <w:sz w:val="28"/>
          <w:szCs w:val="28"/>
        </w:rPr>
        <w:t>. Several states in the USA have limited the availability and use of pseudoephedrine as an OTC decongestant because of its use as a precursor in illegal amphetamine synthesis. It is being replaced with other decongestants such as phenylephrine.</w:t>
      </w:r>
    </w:p>
    <w:p w:rsidR="003F2B62" w:rsidRPr="003F2B62" w:rsidRDefault="003F2B62" w:rsidP="003F2B62">
      <w:pPr>
        <w:shd w:val="clear" w:color="auto" w:fill="FFFFFF"/>
        <w:bidi w:val="0"/>
        <w:spacing w:after="0"/>
        <w:jc w:val="both"/>
        <w:rPr>
          <w:rFonts w:asciiTheme="majorBidi" w:eastAsia="Times New Roman" w:hAnsiTheme="majorBidi" w:cstheme="majorBidi"/>
          <w:color w:val="000000"/>
          <w:sz w:val="28"/>
          <w:szCs w:val="28"/>
        </w:rPr>
      </w:pPr>
      <w:bookmarkStart w:id="12" w:name="v3352795"/>
      <w:bookmarkEnd w:id="12"/>
      <w:r w:rsidRPr="003F2B62">
        <w:rPr>
          <w:rFonts w:asciiTheme="majorBidi" w:eastAsia="Times New Roman" w:hAnsiTheme="majorBidi" w:cstheme="majorBidi"/>
          <w:color w:val="000000"/>
          <w:sz w:val="28"/>
          <w:szCs w:val="28"/>
        </w:rPr>
        <w:t>Pseudoephedrine is a stereoisomer of ephedrine and is available as the hydrochloride or sulfate salt. Both ephedrine and pseudoephedrine have α- and β-adrenergic agonist effects. The pharmacologic effects of the drugs are due to direct stimulation of adrenergic receptors and the release of norepinephrine.</w:t>
      </w:r>
    </w:p>
    <w:p w:rsidR="003F2B62" w:rsidRPr="003F2B62" w:rsidRDefault="00A247DD" w:rsidP="00A247DD">
      <w:pPr>
        <w:shd w:val="clear" w:color="auto" w:fill="FFFFFF"/>
        <w:bidi w:val="0"/>
        <w:spacing w:after="0"/>
        <w:jc w:val="both"/>
        <w:rPr>
          <w:rFonts w:asciiTheme="majorBidi" w:eastAsia="Times New Roman" w:hAnsiTheme="majorBidi" w:cstheme="majorBidi"/>
          <w:color w:val="000000"/>
          <w:sz w:val="28"/>
          <w:szCs w:val="28"/>
        </w:rPr>
      </w:pPr>
      <w:bookmarkStart w:id="13" w:name="v3352796"/>
      <w:bookmarkEnd w:id="13"/>
      <w:r>
        <w:rPr>
          <w:rFonts w:asciiTheme="majorBidi" w:eastAsia="Times New Roman" w:hAnsiTheme="majorBidi" w:cstheme="majorBidi"/>
          <w:color w:val="000000"/>
          <w:sz w:val="28"/>
          <w:szCs w:val="28"/>
        </w:rPr>
        <w:t>P</w:t>
      </w:r>
      <w:r w:rsidR="003F2B62" w:rsidRPr="003F2B62">
        <w:rPr>
          <w:rFonts w:asciiTheme="majorBidi" w:eastAsia="Times New Roman" w:hAnsiTheme="majorBidi" w:cstheme="majorBidi"/>
          <w:color w:val="000000"/>
          <w:sz w:val="28"/>
          <w:szCs w:val="28"/>
        </w:rPr>
        <w:t xml:space="preserve">seudoephedrine is rapidly absorbed orally. The onset of action is 15–30 min, with peak effects within 30–60 min. It is incompletely metabolized in the liver. Approximately 90% of the drug is eliminated through the kidneys. Renal excretion is accelerated in acidic urine. </w:t>
      </w:r>
    </w:p>
    <w:p w:rsidR="003F2B62" w:rsidRPr="003F2B62" w:rsidRDefault="003F2B62" w:rsidP="003F2B62">
      <w:pPr>
        <w:shd w:val="clear" w:color="auto" w:fill="FFFFFF"/>
        <w:bidi w:val="0"/>
        <w:spacing w:after="45"/>
        <w:jc w:val="both"/>
        <w:outlineLvl w:val="2"/>
        <w:rPr>
          <w:rFonts w:asciiTheme="majorBidi" w:eastAsia="Times New Roman" w:hAnsiTheme="majorBidi" w:cstheme="majorBidi"/>
          <w:b/>
          <w:bCs/>
          <w:color w:val="000000"/>
          <w:sz w:val="28"/>
          <w:szCs w:val="28"/>
        </w:rPr>
      </w:pPr>
      <w:bookmarkStart w:id="14" w:name="v3352798"/>
      <w:bookmarkEnd w:id="3"/>
      <w:bookmarkEnd w:id="14"/>
      <w:r w:rsidRPr="003F2B62">
        <w:rPr>
          <w:rFonts w:asciiTheme="majorBidi" w:eastAsia="Times New Roman" w:hAnsiTheme="majorBidi" w:cstheme="majorBidi"/>
          <w:b/>
          <w:bCs/>
          <w:color w:val="000000"/>
          <w:sz w:val="28"/>
          <w:szCs w:val="28"/>
        </w:rPr>
        <w:t>Clinical Findings</w:t>
      </w:r>
    </w:p>
    <w:p w:rsidR="003F2B62" w:rsidRPr="003F2B62" w:rsidRDefault="003F2B62" w:rsidP="00A247DD">
      <w:pPr>
        <w:shd w:val="clear" w:color="auto" w:fill="FFFFFF"/>
        <w:bidi w:val="0"/>
        <w:spacing w:after="0"/>
        <w:jc w:val="both"/>
        <w:rPr>
          <w:rFonts w:asciiTheme="majorBidi" w:eastAsia="Times New Roman" w:hAnsiTheme="majorBidi" w:cstheme="majorBidi"/>
          <w:color w:val="000000"/>
          <w:sz w:val="28"/>
          <w:szCs w:val="28"/>
        </w:rPr>
      </w:pPr>
      <w:bookmarkStart w:id="15" w:name="v3352799"/>
      <w:bookmarkEnd w:id="15"/>
      <w:r w:rsidRPr="003F2B62">
        <w:rPr>
          <w:rFonts w:asciiTheme="majorBidi" w:eastAsia="Times New Roman" w:hAnsiTheme="majorBidi" w:cstheme="majorBidi"/>
          <w:color w:val="000000"/>
          <w:sz w:val="28"/>
          <w:szCs w:val="28"/>
        </w:rPr>
        <w:t>Pseudoephedrine and ephedrine overdose can result in mainly sympathomimetic effects, including agitation, hyperactivity, mydriasis, tachycardia, hypertension, sinus arrhythmias, anxiety, tremors, hyperthermia</w:t>
      </w:r>
      <w:r w:rsidR="00A247DD">
        <w:rPr>
          <w:rFonts w:asciiTheme="majorBidi" w:eastAsia="Times New Roman" w:hAnsiTheme="majorBidi" w:cstheme="majorBidi"/>
          <w:color w:val="000000"/>
          <w:sz w:val="28"/>
          <w:szCs w:val="28"/>
        </w:rPr>
        <w:t>.</w:t>
      </w:r>
      <w:r w:rsidRPr="003F2B62">
        <w:rPr>
          <w:rFonts w:asciiTheme="majorBidi" w:eastAsia="Times New Roman" w:hAnsiTheme="majorBidi" w:cstheme="majorBidi"/>
          <w:color w:val="000000"/>
          <w:sz w:val="28"/>
          <w:szCs w:val="28"/>
        </w:rPr>
        <w:t xml:space="preserve"> Clinical signs can be seen at dosages of 5–6 mg/kg, and death may occur at 10–12 mg/kg.</w:t>
      </w:r>
    </w:p>
    <w:p w:rsidR="00D62FF8" w:rsidRDefault="00D62FF8" w:rsidP="003F2B62">
      <w:pPr>
        <w:shd w:val="clear" w:color="auto" w:fill="FFFFFF"/>
        <w:bidi w:val="0"/>
        <w:spacing w:after="45"/>
        <w:jc w:val="both"/>
        <w:outlineLvl w:val="2"/>
        <w:rPr>
          <w:rFonts w:asciiTheme="majorBidi" w:eastAsia="Times New Roman" w:hAnsiTheme="majorBidi" w:cstheme="majorBidi"/>
          <w:b/>
          <w:bCs/>
          <w:color w:val="000000"/>
          <w:sz w:val="28"/>
          <w:szCs w:val="28"/>
        </w:rPr>
      </w:pPr>
      <w:bookmarkStart w:id="16" w:name="v3352801"/>
      <w:bookmarkEnd w:id="6"/>
      <w:bookmarkEnd w:id="16"/>
    </w:p>
    <w:p w:rsidR="00D62FF8" w:rsidRDefault="00D62FF8" w:rsidP="00D62FF8">
      <w:pPr>
        <w:shd w:val="clear" w:color="auto" w:fill="FFFFFF"/>
        <w:bidi w:val="0"/>
        <w:spacing w:after="45"/>
        <w:jc w:val="both"/>
        <w:outlineLvl w:val="2"/>
        <w:rPr>
          <w:rFonts w:asciiTheme="majorBidi" w:eastAsia="Times New Roman" w:hAnsiTheme="majorBidi" w:cstheme="majorBidi"/>
          <w:b/>
          <w:bCs/>
          <w:color w:val="000000"/>
          <w:sz w:val="28"/>
          <w:szCs w:val="28"/>
        </w:rPr>
      </w:pPr>
    </w:p>
    <w:p w:rsidR="006E7F64" w:rsidRDefault="006E7F64" w:rsidP="00D62FF8">
      <w:pPr>
        <w:shd w:val="clear" w:color="auto" w:fill="FFFFFF"/>
        <w:bidi w:val="0"/>
        <w:spacing w:after="45"/>
        <w:jc w:val="both"/>
        <w:outlineLvl w:val="2"/>
        <w:rPr>
          <w:rFonts w:asciiTheme="majorBidi" w:eastAsia="Times New Roman" w:hAnsiTheme="majorBidi" w:cstheme="majorBidi"/>
          <w:b/>
          <w:bCs/>
          <w:color w:val="000000"/>
          <w:sz w:val="28"/>
          <w:szCs w:val="28"/>
        </w:rPr>
      </w:pPr>
    </w:p>
    <w:p w:rsidR="006E7F64" w:rsidRDefault="006E7F64" w:rsidP="006E7F64">
      <w:pPr>
        <w:shd w:val="clear" w:color="auto" w:fill="FFFFFF"/>
        <w:bidi w:val="0"/>
        <w:spacing w:after="45"/>
        <w:jc w:val="both"/>
        <w:outlineLvl w:val="2"/>
        <w:rPr>
          <w:rFonts w:asciiTheme="majorBidi" w:eastAsia="Times New Roman" w:hAnsiTheme="majorBidi" w:cstheme="majorBidi"/>
          <w:b/>
          <w:bCs/>
          <w:color w:val="000000"/>
          <w:sz w:val="28"/>
          <w:szCs w:val="28"/>
        </w:rPr>
      </w:pPr>
    </w:p>
    <w:p w:rsidR="003F2B62" w:rsidRPr="003F2B62" w:rsidRDefault="003F2B62" w:rsidP="006E7F64">
      <w:pPr>
        <w:shd w:val="clear" w:color="auto" w:fill="FFFFFF"/>
        <w:bidi w:val="0"/>
        <w:spacing w:after="45"/>
        <w:jc w:val="both"/>
        <w:outlineLvl w:val="2"/>
        <w:rPr>
          <w:rFonts w:asciiTheme="majorBidi" w:eastAsia="Times New Roman" w:hAnsiTheme="majorBidi" w:cstheme="majorBidi"/>
          <w:b/>
          <w:bCs/>
          <w:color w:val="000000"/>
          <w:sz w:val="28"/>
          <w:szCs w:val="28"/>
        </w:rPr>
      </w:pPr>
      <w:r w:rsidRPr="003F2B62">
        <w:rPr>
          <w:rFonts w:asciiTheme="majorBidi" w:eastAsia="Times New Roman" w:hAnsiTheme="majorBidi" w:cstheme="majorBidi"/>
          <w:b/>
          <w:bCs/>
          <w:color w:val="000000"/>
          <w:sz w:val="28"/>
          <w:szCs w:val="28"/>
        </w:rPr>
        <w:lastRenderedPageBreak/>
        <w:t>Treatment</w:t>
      </w:r>
    </w:p>
    <w:p w:rsidR="00E407DD" w:rsidRDefault="003F2B62" w:rsidP="005D47CF">
      <w:pPr>
        <w:shd w:val="clear" w:color="auto" w:fill="FFFFFF"/>
        <w:bidi w:val="0"/>
        <w:spacing w:after="0"/>
        <w:jc w:val="both"/>
        <w:rPr>
          <w:rFonts w:asciiTheme="majorBidi" w:eastAsia="Times New Roman" w:hAnsiTheme="majorBidi" w:cstheme="majorBidi"/>
          <w:color w:val="000000"/>
          <w:sz w:val="28"/>
          <w:szCs w:val="28"/>
        </w:rPr>
      </w:pPr>
      <w:bookmarkStart w:id="17" w:name="v3352802"/>
      <w:bookmarkEnd w:id="17"/>
      <w:r w:rsidRPr="003F2B62">
        <w:rPr>
          <w:rFonts w:asciiTheme="majorBidi" w:eastAsia="Times New Roman" w:hAnsiTheme="majorBidi" w:cstheme="majorBidi"/>
          <w:color w:val="000000"/>
          <w:sz w:val="28"/>
          <w:szCs w:val="28"/>
        </w:rPr>
        <w:t xml:space="preserve">Treatment of pseudoephedrine </w:t>
      </w:r>
      <w:r w:rsidR="002C341F">
        <w:rPr>
          <w:rFonts w:asciiTheme="majorBidi" w:eastAsia="Times New Roman" w:hAnsiTheme="majorBidi" w:cstheme="majorBidi"/>
          <w:color w:val="000000"/>
          <w:sz w:val="28"/>
          <w:szCs w:val="28"/>
        </w:rPr>
        <w:t>poisoning</w:t>
      </w:r>
      <w:r w:rsidRPr="003F2B62">
        <w:rPr>
          <w:rFonts w:asciiTheme="majorBidi" w:eastAsia="Times New Roman" w:hAnsiTheme="majorBidi" w:cstheme="majorBidi"/>
          <w:color w:val="000000"/>
          <w:sz w:val="28"/>
          <w:szCs w:val="28"/>
        </w:rPr>
        <w:t xml:space="preserve"> consists of </w:t>
      </w:r>
      <w:r w:rsidRPr="009826CA">
        <w:rPr>
          <w:rFonts w:asciiTheme="majorBidi" w:eastAsia="Times New Roman" w:hAnsiTheme="majorBidi" w:cstheme="majorBidi"/>
          <w:b/>
          <w:bCs/>
          <w:color w:val="000000"/>
          <w:sz w:val="28"/>
          <w:szCs w:val="28"/>
        </w:rPr>
        <w:t>decontamination</w:t>
      </w:r>
      <w:r w:rsidRPr="003F2B62">
        <w:rPr>
          <w:rFonts w:asciiTheme="majorBidi" w:eastAsia="Times New Roman" w:hAnsiTheme="majorBidi" w:cstheme="majorBidi"/>
          <w:color w:val="000000"/>
          <w:sz w:val="28"/>
          <w:szCs w:val="28"/>
        </w:rPr>
        <w:t xml:space="preserve">, controlling the </w:t>
      </w:r>
      <w:r w:rsidRPr="009826CA">
        <w:rPr>
          <w:rFonts w:asciiTheme="majorBidi" w:eastAsia="Times New Roman" w:hAnsiTheme="majorBidi" w:cstheme="majorBidi"/>
          <w:b/>
          <w:bCs/>
          <w:color w:val="000000"/>
          <w:sz w:val="28"/>
          <w:szCs w:val="28"/>
        </w:rPr>
        <w:t xml:space="preserve">CNS </w:t>
      </w:r>
      <w:r w:rsidRPr="003F2B62">
        <w:rPr>
          <w:rFonts w:asciiTheme="majorBidi" w:eastAsia="Times New Roman" w:hAnsiTheme="majorBidi" w:cstheme="majorBidi"/>
          <w:color w:val="000000"/>
          <w:sz w:val="28"/>
          <w:szCs w:val="28"/>
        </w:rPr>
        <w:t xml:space="preserve">and </w:t>
      </w:r>
      <w:r w:rsidRPr="009826CA">
        <w:rPr>
          <w:rFonts w:asciiTheme="majorBidi" w:eastAsia="Times New Roman" w:hAnsiTheme="majorBidi" w:cstheme="majorBidi"/>
          <w:b/>
          <w:bCs/>
          <w:color w:val="000000"/>
          <w:sz w:val="28"/>
          <w:szCs w:val="28"/>
        </w:rPr>
        <w:t>cardiovascular effects</w:t>
      </w:r>
      <w:r w:rsidRPr="003F2B62">
        <w:rPr>
          <w:rFonts w:asciiTheme="majorBidi" w:eastAsia="Times New Roman" w:hAnsiTheme="majorBidi" w:cstheme="majorBidi"/>
          <w:color w:val="000000"/>
          <w:sz w:val="28"/>
          <w:szCs w:val="28"/>
        </w:rPr>
        <w:t xml:space="preserve">, and </w:t>
      </w:r>
      <w:r w:rsidRPr="003E3EE0">
        <w:rPr>
          <w:rFonts w:asciiTheme="majorBidi" w:eastAsia="Times New Roman" w:hAnsiTheme="majorBidi" w:cstheme="majorBidi"/>
          <w:b/>
          <w:bCs/>
          <w:color w:val="000000"/>
          <w:sz w:val="28"/>
          <w:szCs w:val="28"/>
        </w:rPr>
        <w:t>supportive care</w:t>
      </w:r>
      <w:r w:rsidRPr="003F2B62">
        <w:rPr>
          <w:rFonts w:asciiTheme="majorBidi" w:eastAsia="Times New Roman" w:hAnsiTheme="majorBidi" w:cstheme="majorBidi"/>
          <w:color w:val="000000"/>
          <w:sz w:val="28"/>
          <w:szCs w:val="28"/>
        </w:rPr>
        <w:t>. Vomiting should be induced only in asymptomatic patients, followed by administration of activated charcoal with a cathartic. If emesis</w:t>
      </w:r>
      <w:r w:rsidR="00056B2E">
        <w:rPr>
          <w:rFonts w:asciiTheme="majorBidi" w:eastAsia="Times New Roman" w:hAnsiTheme="majorBidi" w:cstheme="majorBidi"/>
          <w:color w:val="000000"/>
          <w:sz w:val="28"/>
          <w:szCs w:val="28"/>
        </w:rPr>
        <w:t xml:space="preserve"> is contraindicated</w:t>
      </w:r>
      <w:r w:rsidRPr="003F2B62">
        <w:rPr>
          <w:rFonts w:asciiTheme="majorBidi" w:eastAsia="Times New Roman" w:hAnsiTheme="majorBidi" w:cstheme="majorBidi"/>
          <w:color w:val="000000"/>
          <w:sz w:val="28"/>
          <w:szCs w:val="28"/>
        </w:rPr>
        <w:t>, a gastric lavage should be performed.</w:t>
      </w:r>
    </w:p>
    <w:p w:rsidR="00342589" w:rsidRDefault="003F2B62" w:rsidP="00E407DD">
      <w:pPr>
        <w:shd w:val="clear" w:color="auto" w:fill="FFFFFF"/>
        <w:bidi w:val="0"/>
        <w:spacing w:after="0"/>
        <w:jc w:val="both"/>
        <w:rPr>
          <w:rFonts w:asciiTheme="majorBidi" w:eastAsia="Times New Roman" w:hAnsiTheme="majorBidi" w:cstheme="majorBidi"/>
          <w:color w:val="000000"/>
          <w:sz w:val="28"/>
          <w:szCs w:val="28"/>
        </w:rPr>
      </w:pPr>
      <w:bookmarkStart w:id="18" w:name="_GoBack"/>
      <w:bookmarkEnd w:id="18"/>
      <w:r w:rsidRPr="003F2B62">
        <w:rPr>
          <w:rFonts w:asciiTheme="majorBidi" w:eastAsia="Times New Roman" w:hAnsiTheme="majorBidi" w:cstheme="majorBidi"/>
          <w:color w:val="000000"/>
          <w:sz w:val="28"/>
          <w:szCs w:val="28"/>
        </w:rPr>
        <w:t xml:space="preserve"> Hyperactivity, nervousness, or seizures can be controlled with chlorpromazine, phenobarbital</w:t>
      </w:r>
      <w:r w:rsidR="001350B0">
        <w:rPr>
          <w:rFonts w:asciiTheme="majorBidi" w:eastAsia="Times New Roman" w:hAnsiTheme="majorBidi" w:cstheme="majorBidi"/>
          <w:color w:val="000000"/>
          <w:sz w:val="28"/>
          <w:szCs w:val="28"/>
        </w:rPr>
        <w:t>, or pentobarbital</w:t>
      </w:r>
      <w:r w:rsidRPr="003F2B62">
        <w:rPr>
          <w:rFonts w:asciiTheme="majorBidi" w:eastAsia="Times New Roman" w:hAnsiTheme="majorBidi" w:cstheme="majorBidi"/>
          <w:color w:val="000000"/>
          <w:sz w:val="28"/>
          <w:szCs w:val="28"/>
        </w:rPr>
        <w:t xml:space="preserve">. Diazepam should be avoided, because it can exaggerate hyperactivity. </w:t>
      </w:r>
      <w:proofErr w:type="spellStart"/>
      <w:r w:rsidRPr="003F2B62">
        <w:rPr>
          <w:rFonts w:asciiTheme="majorBidi" w:eastAsia="Times New Roman" w:hAnsiTheme="majorBidi" w:cstheme="majorBidi"/>
          <w:color w:val="000000"/>
          <w:sz w:val="28"/>
          <w:szCs w:val="28"/>
        </w:rPr>
        <w:t>Phenothiazines</w:t>
      </w:r>
      <w:proofErr w:type="spellEnd"/>
      <w:r w:rsidRPr="003F2B62">
        <w:rPr>
          <w:rFonts w:asciiTheme="majorBidi" w:eastAsia="Times New Roman" w:hAnsiTheme="majorBidi" w:cstheme="majorBidi"/>
          <w:color w:val="000000"/>
          <w:sz w:val="28"/>
          <w:szCs w:val="28"/>
        </w:rPr>
        <w:t xml:space="preserve"> should be used with caution because they </w:t>
      </w:r>
      <w:r w:rsidR="001350B0">
        <w:rPr>
          <w:rFonts w:asciiTheme="majorBidi" w:eastAsia="Times New Roman" w:hAnsiTheme="majorBidi" w:cstheme="majorBidi"/>
          <w:color w:val="000000"/>
          <w:sz w:val="28"/>
          <w:szCs w:val="28"/>
        </w:rPr>
        <w:t>can lower the seizure threshold.</w:t>
      </w:r>
      <w:r w:rsidRPr="003F2B62">
        <w:rPr>
          <w:rFonts w:asciiTheme="majorBidi" w:eastAsia="Times New Roman" w:hAnsiTheme="majorBidi" w:cstheme="majorBidi"/>
          <w:color w:val="000000"/>
          <w:sz w:val="28"/>
          <w:szCs w:val="28"/>
        </w:rPr>
        <w:t xml:space="preserve"> Tachycardia can be controlled with propranolol, repeated if needed, or with </w:t>
      </w:r>
      <w:proofErr w:type="spellStart"/>
      <w:r w:rsidRPr="003F2B62">
        <w:rPr>
          <w:rFonts w:asciiTheme="majorBidi" w:eastAsia="Times New Roman" w:hAnsiTheme="majorBidi" w:cstheme="majorBidi"/>
          <w:color w:val="000000"/>
          <w:sz w:val="28"/>
          <w:szCs w:val="28"/>
        </w:rPr>
        <w:t>esmolol</w:t>
      </w:r>
      <w:proofErr w:type="spellEnd"/>
      <w:r w:rsidRPr="003F2B62">
        <w:rPr>
          <w:rFonts w:asciiTheme="majorBidi" w:eastAsia="Times New Roman" w:hAnsiTheme="majorBidi" w:cstheme="majorBidi"/>
          <w:color w:val="000000"/>
          <w:sz w:val="28"/>
          <w:szCs w:val="28"/>
        </w:rPr>
        <w:t xml:space="preserve">. Acidifying the urine with ammonium chloride or ascorbic acid may enhance urinary excretion of pseudoephedrine. </w:t>
      </w:r>
    </w:p>
    <w:p w:rsidR="003F2B62" w:rsidRPr="003F2B62" w:rsidRDefault="003F2B62" w:rsidP="00342589">
      <w:pPr>
        <w:shd w:val="clear" w:color="auto" w:fill="FFFFFF"/>
        <w:bidi w:val="0"/>
        <w:spacing w:after="0"/>
        <w:jc w:val="both"/>
        <w:rPr>
          <w:rFonts w:asciiTheme="majorBidi" w:eastAsia="Times New Roman" w:hAnsiTheme="majorBidi" w:cstheme="majorBidi"/>
          <w:color w:val="000000"/>
          <w:sz w:val="28"/>
          <w:szCs w:val="28"/>
        </w:rPr>
      </w:pPr>
      <w:r w:rsidRPr="003F2B62">
        <w:rPr>
          <w:rFonts w:asciiTheme="majorBidi" w:eastAsia="Times New Roman" w:hAnsiTheme="majorBidi" w:cstheme="majorBidi"/>
          <w:color w:val="000000"/>
          <w:sz w:val="28"/>
          <w:szCs w:val="28"/>
        </w:rPr>
        <w:t>Electrolytes, heart rate and rhythm, and blood pressure should be monitored. The presence of pseudoephedrine in urine can support the diagnosis.</w:t>
      </w:r>
    </w:p>
    <w:p w:rsidR="001A1D9D" w:rsidRPr="003F2B62" w:rsidRDefault="001A1D9D" w:rsidP="003F2B62">
      <w:pPr>
        <w:bidi w:val="0"/>
        <w:jc w:val="both"/>
        <w:rPr>
          <w:rFonts w:asciiTheme="majorBidi" w:hAnsiTheme="majorBidi" w:cstheme="majorBidi"/>
          <w:sz w:val="28"/>
          <w:szCs w:val="28"/>
          <w:lang w:bidi="ar-IQ"/>
        </w:rPr>
      </w:pPr>
    </w:p>
    <w:sectPr w:rsidR="001A1D9D" w:rsidRPr="003F2B62" w:rsidSect="001F6E1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924850"/>
    <w:multiLevelType w:val="hybridMultilevel"/>
    <w:tmpl w:val="AFACD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2"/>
  </w:compat>
  <w:rsids>
    <w:rsidRoot w:val="003F2B62"/>
    <w:rsid w:val="00056B2E"/>
    <w:rsid w:val="001116D2"/>
    <w:rsid w:val="001350B0"/>
    <w:rsid w:val="001A1D9D"/>
    <w:rsid w:val="001F6E10"/>
    <w:rsid w:val="00254E4E"/>
    <w:rsid w:val="002C341F"/>
    <w:rsid w:val="00342589"/>
    <w:rsid w:val="003655BB"/>
    <w:rsid w:val="003E3EE0"/>
    <w:rsid w:val="003F2B62"/>
    <w:rsid w:val="004A310C"/>
    <w:rsid w:val="0056375C"/>
    <w:rsid w:val="005D47CF"/>
    <w:rsid w:val="006E7F64"/>
    <w:rsid w:val="00851A58"/>
    <w:rsid w:val="009407D9"/>
    <w:rsid w:val="009826CA"/>
    <w:rsid w:val="00A13BC2"/>
    <w:rsid w:val="00A247DD"/>
    <w:rsid w:val="00AD0269"/>
    <w:rsid w:val="00B41363"/>
    <w:rsid w:val="00BB0831"/>
    <w:rsid w:val="00CD17F8"/>
    <w:rsid w:val="00D5738E"/>
    <w:rsid w:val="00D62FF8"/>
    <w:rsid w:val="00D920CC"/>
    <w:rsid w:val="00DD21E8"/>
    <w:rsid w:val="00DF60E6"/>
    <w:rsid w:val="00E407DD"/>
    <w:rsid w:val="00F47EAB"/>
    <w:rsid w:val="00F8745B"/>
    <w:rsid w:val="00FB4A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4A7B"/>
    <w:pPr>
      <w:bidi/>
    </w:pPr>
  </w:style>
  <w:style w:type="paragraph" w:styleId="2">
    <w:name w:val="heading 2"/>
    <w:basedOn w:val="a"/>
    <w:link w:val="2Char"/>
    <w:uiPriority w:val="9"/>
    <w:qFormat/>
    <w:rsid w:val="003F2B62"/>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Char"/>
    <w:uiPriority w:val="9"/>
    <w:qFormat/>
    <w:rsid w:val="003F2B62"/>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uiPriority w:val="9"/>
    <w:rsid w:val="003F2B62"/>
    <w:rPr>
      <w:rFonts w:ascii="Times New Roman" w:eastAsia="Times New Roman" w:hAnsi="Times New Roman" w:cs="Times New Roman"/>
      <w:b/>
      <w:bCs/>
      <w:sz w:val="36"/>
      <w:szCs w:val="36"/>
    </w:rPr>
  </w:style>
  <w:style w:type="character" w:customStyle="1" w:styleId="3Char">
    <w:name w:val="عنوان 3 Char"/>
    <w:basedOn w:val="a0"/>
    <w:link w:val="3"/>
    <w:uiPriority w:val="9"/>
    <w:rsid w:val="003F2B62"/>
    <w:rPr>
      <w:rFonts w:ascii="Times New Roman" w:eastAsia="Times New Roman" w:hAnsi="Times New Roman" w:cs="Times New Roman"/>
      <w:b/>
      <w:bCs/>
      <w:sz w:val="27"/>
      <w:szCs w:val="27"/>
    </w:rPr>
  </w:style>
  <w:style w:type="paragraph" w:customStyle="1" w:styleId="mmpara">
    <w:name w:val="mmpara"/>
    <w:basedOn w:val="a"/>
    <w:rsid w:val="003F2B62"/>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F2B62"/>
  </w:style>
  <w:style w:type="paragraph" w:styleId="a3">
    <w:name w:val="List Paragraph"/>
    <w:basedOn w:val="a"/>
    <w:uiPriority w:val="34"/>
    <w:qFormat/>
    <w:rsid w:val="00A13BC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2">
    <w:name w:val="heading 2"/>
    <w:basedOn w:val="a"/>
    <w:link w:val="2Char"/>
    <w:uiPriority w:val="9"/>
    <w:qFormat/>
    <w:rsid w:val="003F2B62"/>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Char"/>
    <w:uiPriority w:val="9"/>
    <w:qFormat/>
    <w:rsid w:val="003F2B62"/>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uiPriority w:val="9"/>
    <w:rsid w:val="003F2B62"/>
    <w:rPr>
      <w:rFonts w:ascii="Times New Roman" w:eastAsia="Times New Roman" w:hAnsi="Times New Roman" w:cs="Times New Roman"/>
      <w:b/>
      <w:bCs/>
      <w:sz w:val="36"/>
      <w:szCs w:val="36"/>
    </w:rPr>
  </w:style>
  <w:style w:type="character" w:customStyle="1" w:styleId="3Char">
    <w:name w:val="عنوان 3 Char"/>
    <w:basedOn w:val="a0"/>
    <w:link w:val="3"/>
    <w:uiPriority w:val="9"/>
    <w:rsid w:val="003F2B62"/>
    <w:rPr>
      <w:rFonts w:ascii="Times New Roman" w:eastAsia="Times New Roman" w:hAnsi="Times New Roman" w:cs="Times New Roman"/>
      <w:b/>
      <w:bCs/>
      <w:sz w:val="27"/>
      <w:szCs w:val="27"/>
    </w:rPr>
  </w:style>
  <w:style w:type="paragraph" w:customStyle="1" w:styleId="mmpara">
    <w:name w:val="mmpara"/>
    <w:basedOn w:val="a"/>
    <w:rsid w:val="003F2B62"/>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F2B62"/>
  </w:style>
  <w:style w:type="paragraph" w:styleId="a3">
    <w:name w:val="List Paragraph"/>
    <w:basedOn w:val="a"/>
    <w:uiPriority w:val="34"/>
    <w:qFormat/>
    <w:rsid w:val="00A13B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177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3</Pages>
  <Words>684</Words>
  <Characters>3899</Characters>
  <Application>Microsoft Office Word</Application>
  <DocSecurity>0</DocSecurity>
  <Lines>32</Lines>
  <Paragraphs>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fatimah</dc:creator>
  <cp:lastModifiedBy>fatimah</cp:lastModifiedBy>
  <cp:revision>26</cp:revision>
  <dcterms:created xsi:type="dcterms:W3CDTF">2015-10-17T06:11:00Z</dcterms:created>
  <dcterms:modified xsi:type="dcterms:W3CDTF">2015-10-19T19:04:00Z</dcterms:modified>
</cp:coreProperties>
</file>