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01" w:rsidRDefault="00A964BF">
      <w:r w:rsidRPr="00E40ED5">
        <w:rPr>
          <w:rFonts w:cs="Simplified Arabic" w:hint="cs"/>
          <w:sz w:val="32"/>
          <w:szCs w:val="32"/>
          <w:rtl/>
          <w:lang w:bidi="ar-IQ"/>
        </w:rPr>
        <w:t>تم الكشف عن مجموعة من حباب الباربوتين إثناء تنقيبات الهيئة العامة للاثار والتراث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 تزين تلك الحباب مشاهد متعددة منها رسوم النساء المتشابكات الايدي والضفائر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 تذكرنا بحباب مدينة سامراء وتكريت في القرن الثالث الهجري والتي سبق وان تكلمنا عنها في الفصل الثاني من هذا البحث ومشاهد اخرى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 كالطائر الخرافي الذي يمسك بمنقاره غصناً وحيوانات أخرى كالأسود والغزلان والنمور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 وعناصر زخرفية نباتية وهندسية تملاء الفراغات الحاصلة بين المشاهد الرئيسية في الزخرفة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 وقد امتازت تلك الجرار بشكل الكروي وجزئها السفلي مزين بزخرفة تشبه خلايا الن</w:t>
      </w:r>
      <w:r>
        <w:rPr>
          <w:rFonts w:cs="Simplified Arabic" w:hint="cs"/>
          <w:sz w:val="32"/>
          <w:szCs w:val="32"/>
          <w:rtl/>
          <w:lang w:bidi="ar-IQ"/>
        </w:rPr>
        <w:t>ح</w:t>
      </w:r>
      <w:r w:rsidRPr="00E40ED5">
        <w:rPr>
          <w:rFonts w:cs="Simplified Arabic" w:hint="cs"/>
          <w:sz w:val="32"/>
          <w:szCs w:val="32"/>
          <w:rtl/>
          <w:lang w:bidi="ar-IQ"/>
        </w:rPr>
        <w:t>ل</w:t>
      </w:r>
      <w:r w:rsidRPr="00E40ED5">
        <w:rPr>
          <w:rFonts w:cs="Simplified Arabic" w:hint="cs"/>
          <w:sz w:val="32"/>
          <w:szCs w:val="32"/>
          <w:vertAlign w:val="superscript"/>
          <w:rtl/>
          <w:lang w:bidi="ar-IQ"/>
        </w:rPr>
        <w:t>(</w:t>
      </w:r>
      <w:r w:rsidRPr="00E40ED5">
        <w:rPr>
          <w:rStyle w:val="FootnoteReference"/>
          <w:rFonts w:cs="Simplified Arabic"/>
          <w:sz w:val="32"/>
          <w:szCs w:val="32"/>
          <w:rtl/>
          <w:lang w:bidi="ar-IQ"/>
        </w:rPr>
        <w:footnoteReference w:id="2"/>
      </w:r>
      <w:r w:rsidRPr="00E40ED5">
        <w:rPr>
          <w:rFonts w:cs="Simplified Arabic" w:hint="cs"/>
          <w:sz w:val="32"/>
          <w:szCs w:val="32"/>
          <w:vertAlign w:val="superscript"/>
          <w:rtl/>
          <w:lang w:bidi="ar-IQ"/>
        </w:rPr>
        <w:t>)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 وقد نسبها السيد خليل قبطان إلى إعمال القرنين الثالث والرابع الهجريين</w:t>
      </w:r>
      <w:r w:rsidRPr="00E40ED5">
        <w:rPr>
          <w:rFonts w:cs="Simplified Arabic" w:hint="cs"/>
          <w:sz w:val="32"/>
          <w:szCs w:val="32"/>
          <w:vertAlign w:val="superscript"/>
          <w:rtl/>
          <w:lang w:bidi="ar-IQ"/>
        </w:rPr>
        <w:t>(</w:t>
      </w:r>
      <w:r w:rsidRPr="00E40ED5">
        <w:rPr>
          <w:rStyle w:val="FootnoteReference"/>
          <w:rFonts w:cs="Simplified Arabic"/>
          <w:sz w:val="32"/>
          <w:szCs w:val="32"/>
          <w:rtl/>
          <w:lang w:bidi="ar-IQ"/>
        </w:rPr>
        <w:footnoteReference w:id="3"/>
      </w:r>
      <w:r w:rsidRPr="00E40ED5">
        <w:rPr>
          <w:rFonts w:cs="Simplified Arabic" w:hint="cs"/>
          <w:sz w:val="32"/>
          <w:szCs w:val="32"/>
          <w:vertAlign w:val="superscript"/>
          <w:rtl/>
          <w:lang w:bidi="ar-IQ"/>
        </w:rPr>
        <w:t>)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 في حين يرجعها الدكتور زكي محمد حسن الى القرنين السادس والسابع الهجريين</w:t>
      </w:r>
      <w:r w:rsidRPr="00E40ED5">
        <w:rPr>
          <w:rFonts w:cs="Simplified Arabic" w:hint="cs"/>
          <w:sz w:val="32"/>
          <w:szCs w:val="32"/>
          <w:vertAlign w:val="superscript"/>
          <w:rtl/>
          <w:lang w:bidi="ar-IQ"/>
        </w:rPr>
        <w:t>(</w:t>
      </w:r>
      <w:r w:rsidRPr="00E40ED5">
        <w:rPr>
          <w:rStyle w:val="FootnoteReference"/>
          <w:rFonts w:cs="Simplified Arabic"/>
          <w:sz w:val="32"/>
          <w:szCs w:val="32"/>
          <w:rtl/>
          <w:lang w:bidi="ar-IQ"/>
        </w:rPr>
        <w:footnoteReference w:id="4"/>
      </w:r>
      <w:r w:rsidRPr="00E40ED5">
        <w:rPr>
          <w:rFonts w:cs="Simplified Arabic" w:hint="cs"/>
          <w:sz w:val="32"/>
          <w:szCs w:val="32"/>
          <w:vertAlign w:val="superscript"/>
          <w:rtl/>
          <w:lang w:bidi="ar-IQ"/>
        </w:rPr>
        <w:t>)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 ويحتفظ المتحف العراقي بحباب من هذا النوع منها</w:t>
      </w:r>
      <w:r>
        <w:rPr>
          <w:rFonts w:cs="Simplified Arabic" w:hint="cs"/>
          <w:sz w:val="32"/>
          <w:szCs w:val="32"/>
          <w:rtl/>
          <w:lang w:bidi="ar-IQ"/>
        </w:rPr>
        <w:t>،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 حب في مخازن المتحف العراقي الإرتفاع 65 سم، قطر الفوهة 18 سم، فريز الزخارف 16 سم، عليه مشاهد تمثل نساء يقمن برقصة الافاعي ومشاهد أخرى تمثل حيوانات خرافية انظر </w:t>
      </w:r>
      <w:r>
        <w:rPr>
          <w:rFonts w:cs="Simplified Arabic" w:hint="cs"/>
          <w:sz w:val="32"/>
          <w:szCs w:val="32"/>
          <w:rtl/>
          <w:lang w:bidi="ar-IQ"/>
        </w:rPr>
        <w:t>(</w:t>
      </w:r>
      <w:r w:rsidRPr="00E40ED5">
        <w:rPr>
          <w:rFonts w:cs="Simplified Arabic" w:hint="cs"/>
          <w:sz w:val="32"/>
          <w:szCs w:val="32"/>
          <w:rtl/>
          <w:lang w:bidi="ar-IQ"/>
        </w:rPr>
        <w:t>شكل 1</w:t>
      </w:r>
      <w:r>
        <w:rPr>
          <w:rFonts w:cs="Simplified Arabic" w:hint="cs"/>
          <w:sz w:val="32"/>
          <w:szCs w:val="32"/>
          <w:rtl/>
          <w:lang w:bidi="ar-IQ"/>
        </w:rPr>
        <w:t>3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 لوح </w:t>
      </w:r>
      <w:r>
        <w:rPr>
          <w:rFonts w:cs="Simplified Arabic" w:hint="cs"/>
          <w:sz w:val="32"/>
          <w:szCs w:val="32"/>
          <w:rtl/>
          <w:lang w:bidi="ar-IQ"/>
        </w:rPr>
        <w:t>19</w:t>
      </w:r>
      <w:r w:rsidRPr="00E40ED5">
        <w:rPr>
          <w:rFonts w:cs="Simplified Arabic" w:hint="cs"/>
          <w:sz w:val="32"/>
          <w:szCs w:val="32"/>
          <w:rtl/>
          <w:lang w:bidi="ar-IQ"/>
        </w:rPr>
        <w:t>)</w:t>
      </w:r>
      <w:r w:rsidRPr="00E40ED5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E40ED5">
        <w:rPr>
          <w:rFonts w:cs="Simplified Arabic" w:hint="cs"/>
          <w:sz w:val="32"/>
          <w:szCs w:val="32"/>
          <w:rtl/>
          <w:lang w:bidi="ar-IQ"/>
        </w:rPr>
        <w:t>ويتخلل المشاهد إشكال نباتية وهندسية</w:t>
      </w:r>
      <w:r>
        <w:rPr>
          <w:rFonts w:cs="Simplified Arabic" w:hint="cs"/>
          <w:sz w:val="32"/>
          <w:szCs w:val="32"/>
          <w:rtl/>
          <w:lang w:bidi="ar-IQ"/>
        </w:rPr>
        <w:t xml:space="preserve"> عبارة عن خطوط متموجة ودوائر صغيرة من أجل ملىء الفراغ</w:t>
      </w:r>
      <w:r>
        <w:rPr>
          <w:rFonts w:cs="Simplified Arabic" w:hint="cs"/>
          <w:sz w:val="32"/>
          <w:szCs w:val="32"/>
          <w:vertAlign w:val="superscript"/>
          <w:rtl/>
          <w:lang w:bidi="ar-IQ"/>
        </w:rPr>
        <w:t xml:space="preserve"> (</w:t>
      </w:r>
      <w:r w:rsidRPr="00E40ED5">
        <w:rPr>
          <w:rStyle w:val="FootnoteReference"/>
          <w:rFonts w:cs="Simplified Arabic"/>
          <w:sz w:val="32"/>
          <w:szCs w:val="32"/>
          <w:rtl/>
          <w:lang w:bidi="ar-IQ"/>
        </w:rPr>
        <w:footnoteReference w:id="5"/>
      </w:r>
      <w:r>
        <w:rPr>
          <w:rFonts w:cs="Simplified Arabic" w:hint="cs"/>
          <w:sz w:val="32"/>
          <w:szCs w:val="32"/>
          <w:vertAlign w:val="superscript"/>
          <w:rtl/>
          <w:lang w:bidi="ar-IQ"/>
        </w:rPr>
        <w:t>)</w:t>
      </w:r>
      <w:r>
        <w:rPr>
          <w:rFonts w:cs="Simplified Arabic" w:hint="cs"/>
          <w:sz w:val="32"/>
          <w:szCs w:val="32"/>
          <w:rtl/>
          <w:lang w:bidi="ar-IQ"/>
        </w:rPr>
        <w:t xml:space="preserve">، </w:t>
      </w:r>
      <w:r w:rsidRPr="00E40ED5">
        <w:rPr>
          <w:rFonts w:cs="Simplified Arabic" w:hint="cs"/>
          <w:sz w:val="32"/>
          <w:szCs w:val="32"/>
          <w:rtl/>
          <w:lang w:bidi="ar-IQ"/>
        </w:rPr>
        <w:t>وهناك جرة متشابهة لها محفوظة في القاعة الإسلامية في المتحف العراقي</w:t>
      </w:r>
    </w:p>
    <w:sectPr w:rsidR="007B1301" w:rsidSect="00B05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80" w:rsidRDefault="00246F80" w:rsidP="00A964BF">
      <w:pPr>
        <w:spacing w:after="0" w:line="240" w:lineRule="auto"/>
      </w:pPr>
      <w:r>
        <w:separator/>
      </w:r>
    </w:p>
  </w:endnote>
  <w:endnote w:type="continuationSeparator" w:id="1">
    <w:p w:rsidR="00246F80" w:rsidRDefault="00246F80" w:rsidP="00A9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80" w:rsidRDefault="00246F80" w:rsidP="00A964BF">
      <w:pPr>
        <w:spacing w:after="0" w:line="240" w:lineRule="auto"/>
      </w:pPr>
      <w:r>
        <w:separator/>
      </w:r>
    </w:p>
  </w:footnote>
  <w:footnote w:type="continuationSeparator" w:id="1">
    <w:p w:rsidR="00246F80" w:rsidRDefault="00246F80" w:rsidP="00A964BF">
      <w:pPr>
        <w:spacing w:after="0" w:line="240" w:lineRule="auto"/>
      </w:pPr>
      <w:r>
        <w:continuationSeparator/>
      </w:r>
    </w:p>
  </w:footnote>
  <w:footnote w:id="2">
    <w:p w:rsidR="00A964BF" w:rsidRPr="002A7F11" w:rsidRDefault="00A964BF" w:rsidP="00A964BF">
      <w:pPr>
        <w:pStyle w:val="FootnoteText"/>
        <w:ind w:left="282" w:hanging="283"/>
        <w:jc w:val="both"/>
        <w:rPr>
          <w:rFonts w:cs="Simplified Arabic"/>
          <w:sz w:val="24"/>
          <w:szCs w:val="24"/>
          <w:rtl/>
        </w:rPr>
      </w:pPr>
      <w:r w:rsidRPr="002A7F11">
        <w:rPr>
          <w:rFonts w:cs="Simplified Arabic"/>
          <w:sz w:val="24"/>
          <w:szCs w:val="24"/>
          <w:rtl/>
          <w:lang w:bidi="ar-IQ"/>
        </w:rPr>
        <w:t>(</w:t>
      </w:r>
      <w:r w:rsidRPr="002A7F11">
        <w:rPr>
          <w:rFonts w:cs="Simplified Arabic"/>
          <w:sz w:val="24"/>
          <w:szCs w:val="24"/>
        </w:rPr>
        <w:t>(</w:t>
      </w:r>
      <w:r w:rsidRPr="002A7F11">
        <w:rPr>
          <w:rStyle w:val="FootnoteReference"/>
          <w:rFonts w:cs="Simplified Arabic"/>
          <w:sz w:val="24"/>
          <w:szCs w:val="24"/>
          <w:vertAlign w:val="baseline"/>
        </w:rPr>
        <w:footnoteRef/>
      </w:r>
      <w:r w:rsidRPr="002A7F11">
        <w:rPr>
          <w:rFonts w:cs="Simplified Arabic"/>
          <w:sz w:val="24"/>
          <w:szCs w:val="24"/>
          <w:rtl/>
        </w:rPr>
        <w:t xml:space="preserve"> </w:t>
      </w:r>
      <w:r w:rsidRPr="002A7F11">
        <w:rPr>
          <w:rFonts w:cs="Simplified Arabic" w:hint="cs"/>
          <w:sz w:val="24"/>
          <w:szCs w:val="24"/>
          <w:rtl/>
        </w:rPr>
        <w:t>الدجيلي، المصدر السابق</w:t>
      </w:r>
      <w:r w:rsidRPr="002A7F11">
        <w:rPr>
          <w:rFonts w:cs="Simplified Arabic"/>
          <w:sz w:val="24"/>
          <w:szCs w:val="24"/>
          <w:rtl/>
        </w:rPr>
        <w:t>، ص16</w:t>
      </w:r>
    </w:p>
  </w:footnote>
  <w:footnote w:id="3">
    <w:p w:rsidR="00A964BF" w:rsidRPr="002A7F11" w:rsidRDefault="00A964BF" w:rsidP="00A964BF">
      <w:pPr>
        <w:pStyle w:val="FootnoteText"/>
        <w:ind w:left="282" w:hanging="283"/>
        <w:jc w:val="both"/>
        <w:rPr>
          <w:rFonts w:cs="Simplified Arabic"/>
          <w:sz w:val="24"/>
          <w:szCs w:val="24"/>
        </w:rPr>
      </w:pPr>
      <w:r w:rsidRPr="002A7F11">
        <w:rPr>
          <w:rFonts w:cs="Simplified Arabic"/>
          <w:sz w:val="24"/>
          <w:szCs w:val="24"/>
          <w:rtl/>
          <w:lang w:bidi="ar-IQ"/>
        </w:rPr>
        <w:t>(</w:t>
      </w:r>
      <w:r w:rsidRPr="002A7F11">
        <w:rPr>
          <w:rStyle w:val="FootnoteReference"/>
          <w:rFonts w:cs="Simplified Arabic"/>
          <w:sz w:val="24"/>
          <w:szCs w:val="24"/>
          <w:vertAlign w:val="baseline"/>
        </w:rPr>
        <w:footnoteRef/>
      </w:r>
      <w:r w:rsidRPr="002A7F11">
        <w:rPr>
          <w:rFonts w:cs="Simplified Arabic" w:hint="cs"/>
          <w:sz w:val="24"/>
          <w:szCs w:val="24"/>
          <w:rtl/>
        </w:rPr>
        <w:t>)</w:t>
      </w:r>
      <w:r w:rsidRPr="002A7F11">
        <w:rPr>
          <w:rFonts w:cs="Simplified Arabic"/>
          <w:sz w:val="24"/>
          <w:szCs w:val="24"/>
          <w:rtl/>
        </w:rPr>
        <w:t xml:space="preserve"> قبطان، المصدر السابق، ص 197.</w:t>
      </w:r>
    </w:p>
  </w:footnote>
  <w:footnote w:id="4">
    <w:p w:rsidR="00A964BF" w:rsidRPr="002A7F11" w:rsidRDefault="00A964BF" w:rsidP="00A964BF">
      <w:pPr>
        <w:pStyle w:val="FootnoteText"/>
        <w:ind w:left="282" w:hanging="283"/>
        <w:jc w:val="both"/>
        <w:rPr>
          <w:rFonts w:cs="Simplified Arabic"/>
          <w:sz w:val="24"/>
          <w:szCs w:val="24"/>
          <w:rtl/>
        </w:rPr>
      </w:pPr>
      <w:r w:rsidRPr="002A7F11">
        <w:rPr>
          <w:rFonts w:cs="Simplified Arabic"/>
          <w:sz w:val="24"/>
          <w:szCs w:val="24"/>
          <w:rtl/>
          <w:lang w:bidi="ar-IQ"/>
        </w:rPr>
        <w:t>(</w:t>
      </w:r>
      <w:r w:rsidRPr="002A7F11">
        <w:rPr>
          <w:rStyle w:val="FootnoteReference"/>
          <w:rFonts w:cs="Simplified Arabic"/>
          <w:sz w:val="24"/>
          <w:szCs w:val="24"/>
          <w:vertAlign w:val="baseline"/>
        </w:rPr>
        <w:footnoteRef/>
      </w:r>
      <w:r w:rsidRPr="002A7F11">
        <w:rPr>
          <w:rFonts w:cs="Simplified Arabic" w:hint="cs"/>
          <w:sz w:val="24"/>
          <w:szCs w:val="24"/>
          <w:rtl/>
        </w:rPr>
        <w:t>)</w:t>
      </w:r>
      <w:r w:rsidRPr="002A7F11">
        <w:rPr>
          <w:rFonts w:cs="Simplified Arabic"/>
          <w:sz w:val="24"/>
          <w:szCs w:val="24"/>
          <w:rtl/>
        </w:rPr>
        <w:t xml:space="preserve"> حسن، أطلس الفنون الزخرفية، ص411 – ص412.</w:t>
      </w:r>
    </w:p>
  </w:footnote>
  <w:footnote w:id="5">
    <w:p w:rsidR="00A964BF" w:rsidRPr="002A7F11" w:rsidRDefault="00A964BF" w:rsidP="00A964BF">
      <w:pPr>
        <w:pStyle w:val="FootnoteText"/>
        <w:ind w:left="282" w:hanging="283"/>
        <w:jc w:val="both"/>
        <w:rPr>
          <w:rFonts w:cs="Simplified Arabic"/>
          <w:sz w:val="24"/>
          <w:szCs w:val="24"/>
          <w:rtl/>
        </w:rPr>
      </w:pPr>
      <w:r w:rsidRPr="002A7F11">
        <w:rPr>
          <w:rFonts w:cs="Simplified Arabic"/>
          <w:sz w:val="24"/>
          <w:szCs w:val="24"/>
          <w:rtl/>
        </w:rPr>
        <w:t>(</w:t>
      </w:r>
      <w:r w:rsidRPr="002A7F11">
        <w:rPr>
          <w:rStyle w:val="FootnoteReference"/>
          <w:rFonts w:cs="Simplified Arabic"/>
          <w:sz w:val="24"/>
          <w:szCs w:val="24"/>
          <w:vertAlign w:val="baseline"/>
        </w:rPr>
        <w:footnoteRef/>
      </w:r>
      <w:r w:rsidRPr="002A7F11">
        <w:rPr>
          <w:rFonts w:cs="Simplified Arabic"/>
          <w:sz w:val="24"/>
          <w:szCs w:val="24"/>
          <w:rtl/>
        </w:rPr>
        <w:t xml:space="preserve">) الدجيلي، المصدر السابق، ص21، صورة 93، شكل 28 صورة 96، شكل 31.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4BF"/>
    <w:rsid w:val="00246F80"/>
    <w:rsid w:val="007B1301"/>
    <w:rsid w:val="00A964BF"/>
    <w:rsid w:val="00B0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96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64B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964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2016-12-31T18:33:00Z</dcterms:created>
  <dcterms:modified xsi:type="dcterms:W3CDTF">2016-12-31T18:34:00Z</dcterms:modified>
</cp:coreProperties>
</file>