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301" w:rsidRDefault="00A964BF">
      <w:r w:rsidRPr="00E40ED5">
        <w:rPr>
          <w:rFonts w:cs="Simplified Arabic" w:hint="cs"/>
          <w:sz w:val="32"/>
          <w:szCs w:val="32"/>
          <w:rtl/>
          <w:lang w:bidi="ar-IQ"/>
        </w:rPr>
        <w:t>تم الكشف عن مجموعة من حباب الباربوتين إثناء تنقيبات الهيئة العامة للاثار والتراث</w:t>
      </w:r>
      <w:r>
        <w:rPr>
          <w:rFonts w:cs="Simplified Arabic" w:hint="cs"/>
          <w:sz w:val="32"/>
          <w:szCs w:val="32"/>
          <w:rtl/>
          <w:lang w:bidi="ar-IQ"/>
        </w:rPr>
        <w:t>،</w:t>
      </w:r>
      <w:r w:rsidRPr="00E40ED5">
        <w:rPr>
          <w:rFonts w:cs="Simplified Arabic" w:hint="cs"/>
          <w:sz w:val="32"/>
          <w:szCs w:val="32"/>
          <w:rtl/>
          <w:lang w:bidi="ar-IQ"/>
        </w:rPr>
        <w:t xml:space="preserve"> تزين تلك الحباب مشاهد متعددة منها رسوم النساء المتشابكات الايدي والضفائر</w:t>
      </w:r>
      <w:r>
        <w:rPr>
          <w:rFonts w:cs="Simplified Arabic" w:hint="cs"/>
          <w:sz w:val="32"/>
          <w:szCs w:val="32"/>
          <w:rtl/>
          <w:lang w:bidi="ar-IQ"/>
        </w:rPr>
        <w:t>،</w:t>
      </w:r>
      <w:r w:rsidRPr="00E40ED5">
        <w:rPr>
          <w:rFonts w:cs="Simplified Arabic" w:hint="cs"/>
          <w:sz w:val="32"/>
          <w:szCs w:val="32"/>
          <w:rtl/>
          <w:lang w:bidi="ar-IQ"/>
        </w:rPr>
        <w:t xml:space="preserve"> تذكرنا بحباب مدينة سامراء وتكريت في القرن الثالث الهجري والتي سبق وان تكلمنا عنها في الفصل الثاني من هذا البحث ومشاهد اخرى</w:t>
      </w:r>
      <w:r>
        <w:rPr>
          <w:rFonts w:cs="Simplified Arabic" w:hint="cs"/>
          <w:sz w:val="32"/>
          <w:szCs w:val="32"/>
          <w:rtl/>
          <w:lang w:bidi="ar-IQ"/>
        </w:rPr>
        <w:t>،</w:t>
      </w:r>
      <w:r w:rsidRPr="00E40ED5">
        <w:rPr>
          <w:rFonts w:cs="Simplified Arabic" w:hint="cs"/>
          <w:sz w:val="32"/>
          <w:szCs w:val="32"/>
          <w:rtl/>
          <w:lang w:bidi="ar-IQ"/>
        </w:rPr>
        <w:t xml:space="preserve"> كالطائر الخرافي الذي يمسك بمنقاره غصناً وحيوانات أخرى كالأسود والغزلان والنمور</w:t>
      </w:r>
      <w:r>
        <w:rPr>
          <w:rFonts w:cs="Simplified Arabic" w:hint="cs"/>
          <w:sz w:val="32"/>
          <w:szCs w:val="32"/>
          <w:rtl/>
          <w:lang w:bidi="ar-IQ"/>
        </w:rPr>
        <w:t>،</w:t>
      </w:r>
      <w:r w:rsidRPr="00E40ED5">
        <w:rPr>
          <w:rFonts w:cs="Simplified Arabic" w:hint="cs"/>
          <w:sz w:val="32"/>
          <w:szCs w:val="32"/>
          <w:rtl/>
          <w:lang w:bidi="ar-IQ"/>
        </w:rPr>
        <w:t xml:space="preserve"> وعناصر زخرفية نباتية وهندسية تملاء الفراغات الحاصلة بين المشاهد الرئيسية في الزخرفة</w:t>
      </w:r>
      <w:r>
        <w:rPr>
          <w:rFonts w:cs="Simplified Arabic" w:hint="cs"/>
          <w:sz w:val="32"/>
          <w:szCs w:val="32"/>
          <w:rtl/>
          <w:lang w:bidi="ar-IQ"/>
        </w:rPr>
        <w:t>،</w:t>
      </w:r>
      <w:r w:rsidRPr="00E40ED5">
        <w:rPr>
          <w:rFonts w:cs="Simplified Arabic" w:hint="cs"/>
          <w:sz w:val="32"/>
          <w:szCs w:val="32"/>
          <w:rtl/>
          <w:lang w:bidi="ar-IQ"/>
        </w:rPr>
        <w:t xml:space="preserve"> وقد امتازت تلك الجرار بشكل الكروي وجزئها السفلي مزين بزخرفة تشبه خلايا الن</w:t>
      </w:r>
      <w:r>
        <w:rPr>
          <w:rFonts w:cs="Simplified Arabic" w:hint="cs"/>
          <w:sz w:val="32"/>
          <w:szCs w:val="32"/>
          <w:rtl/>
          <w:lang w:bidi="ar-IQ"/>
        </w:rPr>
        <w:t>ح</w:t>
      </w:r>
      <w:r w:rsidRPr="00E40ED5">
        <w:rPr>
          <w:rFonts w:cs="Simplified Arabic" w:hint="cs"/>
          <w:sz w:val="32"/>
          <w:szCs w:val="32"/>
          <w:rtl/>
          <w:lang w:bidi="ar-IQ"/>
        </w:rPr>
        <w:t>ل</w:t>
      </w:r>
      <w:r w:rsidRPr="00E40ED5">
        <w:rPr>
          <w:rFonts w:cs="Simplified Arabic" w:hint="cs"/>
          <w:sz w:val="32"/>
          <w:szCs w:val="32"/>
          <w:vertAlign w:val="superscript"/>
          <w:rtl/>
          <w:lang w:bidi="ar-IQ"/>
        </w:rPr>
        <w:t>(</w:t>
      </w:r>
      <w:r w:rsidRPr="00E40ED5">
        <w:rPr>
          <w:rStyle w:val="FootnoteReference"/>
          <w:rFonts w:cs="Simplified Arabic"/>
          <w:sz w:val="32"/>
          <w:szCs w:val="32"/>
          <w:rtl/>
          <w:lang w:bidi="ar-IQ"/>
        </w:rPr>
        <w:footnoteReference w:id="2"/>
      </w:r>
      <w:r w:rsidRPr="00E40ED5">
        <w:rPr>
          <w:rFonts w:cs="Simplified Arabic" w:hint="cs"/>
          <w:sz w:val="32"/>
          <w:szCs w:val="32"/>
          <w:vertAlign w:val="superscript"/>
          <w:rtl/>
          <w:lang w:bidi="ar-IQ"/>
        </w:rPr>
        <w:t>)</w:t>
      </w:r>
      <w:r>
        <w:rPr>
          <w:rFonts w:cs="Simplified Arabic" w:hint="cs"/>
          <w:sz w:val="32"/>
          <w:szCs w:val="32"/>
          <w:rtl/>
          <w:lang w:bidi="ar-IQ"/>
        </w:rPr>
        <w:t>،</w:t>
      </w:r>
      <w:r w:rsidRPr="00E40ED5">
        <w:rPr>
          <w:rFonts w:cs="Simplified Arabic" w:hint="cs"/>
          <w:sz w:val="32"/>
          <w:szCs w:val="32"/>
          <w:rtl/>
          <w:lang w:bidi="ar-IQ"/>
        </w:rPr>
        <w:t xml:space="preserve"> وقد نسبها السيد خليل قبطان إلى إعمال القرنين الثالث والرابع الهجريين</w:t>
      </w:r>
      <w:r w:rsidRPr="00E40ED5">
        <w:rPr>
          <w:rFonts w:cs="Simplified Arabic" w:hint="cs"/>
          <w:sz w:val="32"/>
          <w:szCs w:val="32"/>
          <w:vertAlign w:val="superscript"/>
          <w:rtl/>
          <w:lang w:bidi="ar-IQ"/>
        </w:rPr>
        <w:t>(</w:t>
      </w:r>
      <w:r w:rsidRPr="00E40ED5">
        <w:rPr>
          <w:rStyle w:val="FootnoteReference"/>
          <w:rFonts w:cs="Simplified Arabic"/>
          <w:sz w:val="32"/>
          <w:szCs w:val="32"/>
          <w:rtl/>
          <w:lang w:bidi="ar-IQ"/>
        </w:rPr>
        <w:footnoteReference w:id="3"/>
      </w:r>
      <w:r w:rsidRPr="00E40ED5">
        <w:rPr>
          <w:rFonts w:cs="Simplified Arabic" w:hint="cs"/>
          <w:sz w:val="32"/>
          <w:szCs w:val="32"/>
          <w:vertAlign w:val="superscript"/>
          <w:rtl/>
          <w:lang w:bidi="ar-IQ"/>
        </w:rPr>
        <w:t>)</w:t>
      </w:r>
      <w:r>
        <w:rPr>
          <w:rFonts w:cs="Simplified Arabic" w:hint="cs"/>
          <w:sz w:val="32"/>
          <w:szCs w:val="32"/>
          <w:rtl/>
          <w:lang w:bidi="ar-IQ"/>
        </w:rPr>
        <w:t>،</w:t>
      </w:r>
      <w:r w:rsidRPr="00E40ED5">
        <w:rPr>
          <w:rFonts w:cs="Simplified Arabic" w:hint="cs"/>
          <w:sz w:val="32"/>
          <w:szCs w:val="32"/>
          <w:rtl/>
          <w:lang w:bidi="ar-IQ"/>
        </w:rPr>
        <w:t xml:space="preserve"> في حين يرجعها الدكتور زكي محمد حسن الى القرنين السادس والسابع الهجريين</w:t>
      </w:r>
      <w:r w:rsidRPr="00E40ED5">
        <w:rPr>
          <w:rFonts w:cs="Simplified Arabic" w:hint="cs"/>
          <w:sz w:val="32"/>
          <w:szCs w:val="32"/>
          <w:vertAlign w:val="superscript"/>
          <w:rtl/>
          <w:lang w:bidi="ar-IQ"/>
        </w:rPr>
        <w:t>(</w:t>
      </w:r>
      <w:r w:rsidRPr="00E40ED5">
        <w:rPr>
          <w:rStyle w:val="FootnoteReference"/>
          <w:rFonts w:cs="Simplified Arabic"/>
          <w:sz w:val="32"/>
          <w:szCs w:val="32"/>
          <w:rtl/>
          <w:lang w:bidi="ar-IQ"/>
        </w:rPr>
        <w:footnoteReference w:id="4"/>
      </w:r>
      <w:r w:rsidRPr="00E40ED5">
        <w:rPr>
          <w:rFonts w:cs="Simplified Arabic" w:hint="cs"/>
          <w:sz w:val="32"/>
          <w:szCs w:val="32"/>
          <w:vertAlign w:val="superscript"/>
          <w:rtl/>
          <w:lang w:bidi="ar-IQ"/>
        </w:rPr>
        <w:t>)</w:t>
      </w:r>
      <w:r w:rsidRPr="00E40ED5">
        <w:rPr>
          <w:rFonts w:cs="Simplified Arabic" w:hint="cs"/>
          <w:sz w:val="32"/>
          <w:szCs w:val="32"/>
          <w:rtl/>
          <w:lang w:bidi="ar-IQ"/>
        </w:rPr>
        <w:t xml:space="preserve"> ويحتفظ المتحف العراقي بحباب من هذا النوع منها</w:t>
      </w:r>
      <w:r>
        <w:rPr>
          <w:rFonts w:cs="Simplified Arabic" w:hint="cs"/>
          <w:sz w:val="32"/>
          <w:szCs w:val="32"/>
          <w:rtl/>
          <w:lang w:bidi="ar-IQ"/>
        </w:rPr>
        <w:t>،</w:t>
      </w:r>
      <w:r w:rsidRPr="00E40ED5">
        <w:rPr>
          <w:rFonts w:cs="Simplified Arabic" w:hint="cs"/>
          <w:sz w:val="32"/>
          <w:szCs w:val="32"/>
          <w:rtl/>
          <w:lang w:bidi="ar-IQ"/>
        </w:rPr>
        <w:t xml:space="preserve"> حب في مخازن المتحف العراقي الإرتفاع 65 سم، قطر الفوهة 18 سم، فريز الزخارف 16 سم، عليه مشاهد تمثل نساء يقمن برقصة الافاعي ومشاهد أخرى تمثل حيوانات خرافية انظر </w:t>
      </w:r>
      <w:r>
        <w:rPr>
          <w:rFonts w:cs="Simplified Arabic" w:hint="cs"/>
          <w:sz w:val="32"/>
          <w:szCs w:val="32"/>
          <w:rtl/>
          <w:lang w:bidi="ar-IQ"/>
        </w:rPr>
        <w:t>(</w:t>
      </w:r>
      <w:r w:rsidRPr="00E40ED5">
        <w:rPr>
          <w:rFonts w:cs="Simplified Arabic" w:hint="cs"/>
          <w:sz w:val="32"/>
          <w:szCs w:val="32"/>
          <w:rtl/>
          <w:lang w:bidi="ar-IQ"/>
        </w:rPr>
        <w:t>شكل 1</w:t>
      </w:r>
      <w:r>
        <w:rPr>
          <w:rFonts w:cs="Simplified Arabic" w:hint="cs"/>
          <w:sz w:val="32"/>
          <w:szCs w:val="32"/>
          <w:rtl/>
          <w:lang w:bidi="ar-IQ"/>
        </w:rPr>
        <w:t>3</w:t>
      </w:r>
      <w:r w:rsidRPr="00E40ED5">
        <w:rPr>
          <w:rFonts w:cs="Simplified Arabic" w:hint="cs"/>
          <w:sz w:val="32"/>
          <w:szCs w:val="32"/>
          <w:rtl/>
          <w:lang w:bidi="ar-IQ"/>
        </w:rPr>
        <w:t xml:space="preserve"> لوح </w:t>
      </w:r>
      <w:r>
        <w:rPr>
          <w:rFonts w:cs="Simplified Arabic" w:hint="cs"/>
          <w:sz w:val="32"/>
          <w:szCs w:val="32"/>
          <w:rtl/>
          <w:lang w:bidi="ar-IQ"/>
        </w:rPr>
        <w:t>19</w:t>
      </w:r>
      <w:r w:rsidRPr="00E40ED5">
        <w:rPr>
          <w:rFonts w:cs="Simplified Arabic" w:hint="cs"/>
          <w:sz w:val="32"/>
          <w:szCs w:val="32"/>
          <w:rtl/>
          <w:lang w:bidi="ar-IQ"/>
        </w:rPr>
        <w:t>)</w:t>
      </w:r>
      <w:r w:rsidRPr="00E40ED5">
        <w:rPr>
          <w:rFonts w:cs="Simplified Arabic" w:hint="cs"/>
          <w:b/>
          <w:bCs/>
          <w:sz w:val="32"/>
          <w:szCs w:val="32"/>
          <w:rtl/>
          <w:lang w:bidi="ar-IQ"/>
        </w:rPr>
        <w:t xml:space="preserve"> </w:t>
      </w:r>
      <w:r w:rsidRPr="00E40ED5">
        <w:rPr>
          <w:rFonts w:cs="Simplified Arabic" w:hint="cs"/>
          <w:sz w:val="32"/>
          <w:szCs w:val="32"/>
          <w:rtl/>
          <w:lang w:bidi="ar-IQ"/>
        </w:rPr>
        <w:t>ويتخلل المشاهد إشكال نباتية وهندسية</w:t>
      </w:r>
      <w:r>
        <w:rPr>
          <w:rFonts w:cs="Simplified Arabic" w:hint="cs"/>
          <w:sz w:val="32"/>
          <w:szCs w:val="32"/>
          <w:rtl/>
          <w:lang w:bidi="ar-IQ"/>
        </w:rPr>
        <w:t xml:space="preserve"> عبارة عن خطوط متموجة ودوائر صغيرة من أجل ملىء الفراغ</w:t>
      </w:r>
      <w:r>
        <w:rPr>
          <w:rFonts w:cs="Simplified Arabic" w:hint="cs"/>
          <w:sz w:val="32"/>
          <w:szCs w:val="32"/>
          <w:vertAlign w:val="superscript"/>
          <w:rtl/>
          <w:lang w:bidi="ar-IQ"/>
        </w:rPr>
        <w:t xml:space="preserve"> (</w:t>
      </w:r>
      <w:r w:rsidRPr="00E40ED5">
        <w:rPr>
          <w:rStyle w:val="FootnoteReference"/>
          <w:rFonts w:cs="Simplified Arabic"/>
          <w:sz w:val="32"/>
          <w:szCs w:val="32"/>
          <w:rtl/>
          <w:lang w:bidi="ar-IQ"/>
        </w:rPr>
        <w:footnoteReference w:id="5"/>
      </w:r>
      <w:r>
        <w:rPr>
          <w:rFonts w:cs="Simplified Arabic" w:hint="cs"/>
          <w:sz w:val="32"/>
          <w:szCs w:val="32"/>
          <w:vertAlign w:val="superscript"/>
          <w:rtl/>
          <w:lang w:bidi="ar-IQ"/>
        </w:rPr>
        <w:t>)</w:t>
      </w:r>
      <w:r>
        <w:rPr>
          <w:rFonts w:cs="Simplified Arabic" w:hint="cs"/>
          <w:sz w:val="32"/>
          <w:szCs w:val="32"/>
          <w:rtl/>
          <w:lang w:bidi="ar-IQ"/>
        </w:rPr>
        <w:t xml:space="preserve">، </w:t>
      </w:r>
      <w:r w:rsidRPr="00E40ED5">
        <w:rPr>
          <w:rFonts w:cs="Simplified Arabic" w:hint="cs"/>
          <w:sz w:val="32"/>
          <w:szCs w:val="32"/>
          <w:rtl/>
          <w:lang w:bidi="ar-IQ"/>
        </w:rPr>
        <w:t>وهناك جرة متشابهة لها محفوظة في القاعة الإسلامية في المتحف العراقي</w:t>
      </w:r>
    </w:p>
    <w:sectPr w:rsidR="007B1301" w:rsidSect="00B0592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F80" w:rsidRDefault="00246F80" w:rsidP="00A964BF">
      <w:pPr>
        <w:spacing w:after="0" w:line="240" w:lineRule="auto"/>
      </w:pPr>
      <w:r>
        <w:separator/>
      </w:r>
    </w:p>
  </w:endnote>
  <w:endnote w:type="continuationSeparator" w:id="1">
    <w:p w:rsidR="00246F80" w:rsidRDefault="00246F80" w:rsidP="00A96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F80" w:rsidRDefault="00246F80" w:rsidP="00A964BF">
      <w:pPr>
        <w:spacing w:after="0" w:line="240" w:lineRule="auto"/>
      </w:pPr>
      <w:r>
        <w:separator/>
      </w:r>
    </w:p>
  </w:footnote>
  <w:footnote w:type="continuationSeparator" w:id="1">
    <w:p w:rsidR="00246F80" w:rsidRDefault="00246F80" w:rsidP="00A964BF">
      <w:pPr>
        <w:spacing w:after="0" w:line="240" w:lineRule="auto"/>
      </w:pPr>
      <w:r>
        <w:continuationSeparator/>
      </w:r>
    </w:p>
  </w:footnote>
  <w:footnote w:id="2">
    <w:p w:rsidR="00A964BF" w:rsidRPr="002A7F11" w:rsidRDefault="00A964BF" w:rsidP="00A964BF">
      <w:pPr>
        <w:pStyle w:val="FootnoteText"/>
        <w:ind w:left="282" w:hanging="283"/>
        <w:jc w:val="both"/>
        <w:rPr>
          <w:rFonts w:cs="Simplified Arabic"/>
          <w:sz w:val="24"/>
          <w:szCs w:val="24"/>
          <w:rtl/>
        </w:rPr>
      </w:pPr>
      <w:r w:rsidRPr="002A7F11">
        <w:rPr>
          <w:rFonts w:cs="Simplified Arabic"/>
          <w:sz w:val="24"/>
          <w:szCs w:val="24"/>
          <w:rtl/>
          <w:lang w:bidi="ar-IQ"/>
        </w:rPr>
        <w:t>(</w:t>
      </w:r>
      <w:r w:rsidRPr="002A7F11">
        <w:rPr>
          <w:rFonts w:cs="Simplified Arabic"/>
          <w:sz w:val="24"/>
          <w:szCs w:val="24"/>
        </w:rPr>
        <w:t>(</w:t>
      </w:r>
      <w:r w:rsidRPr="002A7F11">
        <w:rPr>
          <w:rStyle w:val="FootnoteReference"/>
          <w:rFonts w:cs="Simplified Arabic"/>
          <w:sz w:val="24"/>
          <w:szCs w:val="24"/>
          <w:vertAlign w:val="baseline"/>
        </w:rPr>
        <w:footnoteRef/>
      </w:r>
      <w:r w:rsidRPr="002A7F11">
        <w:rPr>
          <w:rFonts w:cs="Simplified Arabic"/>
          <w:sz w:val="24"/>
          <w:szCs w:val="24"/>
          <w:rtl/>
        </w:rPr>
        <w:t xml:space="preserve"> </w:t>
      </w:r>
      <w:r w:rsidRPr="002A7F11">
        <w:rPr>
          <w:rFonts w:cs="Simplified Arabic" w:hint="cs"/>
          <w:sz w:val="24"/>
          <w:szCs w:val="24"/>
          <w:rtl/>
        </w:rPr>
        <w:t>الدجيلي، المصدر السابق</w:t>
      </w:r>
      <w:r w:rsidRPr="002A7F11">
        <w:rPr>
          <w:rFonts w:cs="Simplified Arabic"/>
          <w:sz w:val="24"/>
          <w:szCs w:val="24"/>
          <w:rtl/>
        </w:rPr>
        <w:t>، ص16</w:t>
      </w:r>
    </w:p>
  </w:footnote>
  <w:footnote w:id="3">
    <w:p w:rsidR="00A964BF" w:rsidRPr="002A7F11" w:rsidRDefault="00A964BF" w:rsidP="00A964BF">
      <w:pPr>
        <w:pStyle w:val="FootnoteText"/>
        <w:ind w:left="282" w:hanging="283"/>
        <w:jc w:val="both"/>
        <w:rPr>
          <w:rFonts w:cs="Simplified Arabic"/>
          <w:sz w:val="24"/>
          <w:szCs w:val="24"/>
        </w:rPr>
      </w:pPr>
      <w:r w:rsidRPr="002A7F11">
        <w:rPr>
          <w:rFonts w:cs="Simplified Arabic"/>
          <w:sz w:val="24"/>
          <w:szCs w:val="24"/>
          <w:rtl/>
          <w:lang w:bidi="ar-IQ"/>
        </w:rPr>
        <w:t>(</w:t>
      </w:r>
      <w:r w:rsidRPr="002A7F11">
        <w:rPr>
          <w:rStyle w:val="FootnoteReference"/>
          <w:rFonts w:cs="Simplified Arabic"/>
          <w:sz w:val="24"/>
          <w:szCs w:val="24"/>
          <w:vertAlign w:val="baseline"/>
        </w:rPr>
        <w:footnoteRef/>
      </w:r>
      <w:r w:rsidRPr="002A7F11">
        <w:rPr>
          <w:rFonts w:cs="Simplified Arabic" w:hint="cs"/>
          <w:sz w:val="24"/>
          <w:szCs w:val="24"/>
          <w:rtl/>
        </w:rPr>
        <w:t>)</w:t>
      </w:r>
      <w:r w:rsidRPr="002A7F11">
        <w:rPr>
          <w:rFonts w:cs="Simplified Arabic"/>
          <w:sz w:val="24"/>
          <w:szCs w:val="24"/>
          <w:rtl/>
        </w:rPr>
        <w:t xml:space="preserve"> قبطان، المصدر السابق، ص 197.</w:t>
      </w:r>
    </w:p>
  </w:footnote>
  <w:footnote w:id="4">
    <w:p w:rsidR="00A964BF" w:rsidRPr="002A7F11" w:rsidRDefault="00A964BF" w:rsidP="00A964BF">
      <w:pPr>
        <w:pStyle w:val="FootnoteText"/>
        <w:ind w:left="282" w:hanging="283"/>
        <w:jc w:val="both"/>
        <w:rPr>
          <w:rFonts w:cs="Simplified Arabic"/>
          <w:sz w:val="24"/>
          <w:szCs w:val="24"/>
          <w:rtl/>
        </w:rPr>
      </w:pPr>
      <w:r w:rsidRPr="002A7F11">
        <w:rPr>
          <w:rFonts w:cs="Simplified Arabic"/>
          <w:sz w:val="24"/>
          <w:szCs w:val="24"/>
          <w:rtl/>
          <w:lang w:bidi="ar-IQ"/>
        </w:rPr>
        <w:t>(</w:t>
      </w:r>
      <w:r w:rsidRPr="002A7F11">
        <w:rPr>
          <w:rStyle w:val="FootnoteReference"/>
          <w:rFonts w:cs="Simplified Arabic"/>
          <w:sz w:val="24"/>
          <w:szCs w:val="24"/>
          <w:vertAlign w:val="baseline"/>
        </w:rPr>
        <w:footnoteRef/>
      </w:r>
      <w:r w:rsidRPr="002A7F11">
        <w:rPr>
          <w:rFonts w:cs="Simplified Arabic" w:hint="cs"/>
          <w:sz w:val="24"/>
          <w:szCs w:val="24"/>
          <w:rtl/>
        </w:rPr>
        <w:t>)</w:t>
      </w:r>
      <w:r w:rsidRPr="002A7F11">
        <w:rPr>
          <w:rFonts w:cs="Simplified Arabic"/>
          <w:sz w:val="24"/>
          <w:szCs w:val="24"/>
          <w:rtl/>
        </w:rPr>
        <w:t xml:space="preserve"> حسن، أطلس الفنون الزخرفية، ص411 – ص412.</w:t>
      </w:r>
    </w:p>
  </w:footnote>
  <w:footnote w:id="5">
    <w:p w:rsidR="00A964BF" w:rsidRPr="002A7F11" w:rsidRDefault="00A964BF" w:rsidP="00A964BF">
      <w:pPr>
        <w:pStyle w:val="FootnoteText"/>
        <w:ind w:left="282" w:hanging="283"/>
        <w:jc w:val="both"/>
        <w:rPr>
          <w:rFonts w:cs="Simplified Arabic"/>
          <w:sz w:val="24"/>
          <w:szCs w:val="24"/>
          <w:rtl/>
        </w:rPr>
      </w:pPr>
      <w:r w:rsidRPr="002A7F11">
        <w:rPr>
          <w:rFonts w:cs="Simplified Arabic"/>
          <w:sz w:val="24"/>
          <w:szCs w:val="24"/>
          <w:rtl/>
        </w:rPr>
        <w:t>(</w:t>
      </w:r>
      <w:r w:rsidRPr="002A7F11">
        <w:rPr>
          <w:rStyle w:val="FootnoteReference"/>
          <w:rFonts w:cs="Simplified Arabic"/>
          <w:sz w:val="24"/>
          <w:szCs w:val="24"/>
          <w:vertAlign w:val="baseline"/>
        </w:rPr>
        <w:footnoteRef/>
      </w:r>
      <w:r w:rsidRPr="002A7F11">
        <w:rPr>
          <w:rFonts w:cs="Simplified Arabic"/>
          <w:sz w:val="24"/>
          <w:szCs w:val="24"/>
          <w:rtl/>
        </w:rPr>
        <w:t xml:space="preserve">) الدجيلي، المصدر السابق، ص21، صورة 93، شكل 28 صورة 96، شكل 31.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4BF"/>
    <w:rsid w:val="00246F80"/>
    <w:rsid w:val="007B1301"/>
    <w:rsid w:val="00A964BF"/>
    <w:rsid w:val="00B05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30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A964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964B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A964B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>Grizli777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2016-12-31T18:33:00Z</dcterms:created>
  <dcterms:modified xsi:type="dcterms:W3CDTF">2016-12-31T18:34:00Z</dcterms:modified>
</cp:coreProperties>
</file>