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D" w:rsidRPr="000D0182" w:rsidRDefault="00184BED" w:rsidP="008855C1">
      <w:pPr>
        <w:bidi w:val="0"/>
        <w:ind w:left="-1418" w:right="-1192"/>
        <w:jc w:val="lowKashida"/>
        <w:rPr>
          <w:b/>
          <w:bCs/>
          <w:sz w:val="28"/>
          <w:szCs w:val="28"/>
          <w:lang w:bidi="ar-IQ"/>
        </w:rPr>
      </w:pPr>
      <w:bookmarkStart w:id="0" w:name="_GoBack"/>
      <w:r w:rsidRPr="000D0182">
        <w:rPr>
          <w:b/>
          <w:bCs/>
          <w:sz w:val="28"/>
          <w:szCs w:val="28"/>
          <w:lang w:bidi="ar-IQ"/>
        </w:rPr>
        <w:t xml:space="preserve">Health teaching in nursing practice:  </w:t>
      </w:r>
      <w:r w:rsidR="00E603D7" w:rsidRPr="000D0182">
        <w:rPr>
          <w:b/>
          <w:bCs/>
          <w:sz w:val="28"/>
          <w:szCs w:val="28"/>
          <w:lang w:bidi="ar-IQ"/>
        </w:rPr>
        <w:t>unit 9</w:t>
      </w:r>
      <w:r w:rsidRPr="000D0182">
        <w:rPr>
          <w:b/>
          <w:bCs/>
          <w:sz w:val="28"/>
          <w:szCs w:val="28"/>
          <w:lang w:bidi="ar-IQ"/>
        </w:rPr>
        <w:t xml:space="preserve">                          </w:t>
      </w:r>
    </w:p>
    <w:bookmarkEnd w:id="0"/>
    <w:p w:rsidR="00184BED" w:rsidRDefault="00184BE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sz w:val="20"/>
          <w:szCs w:val="20"/>
        </w:rPr>
      </w:pPr>
    </w:p>
    <w:p w:rsidR="005C3F6F" w:rsidRDefault="00184BED" w:rsidP="008855C1">
      <w:pPr>
        <w:autoSpaceDE w:val="0"/>
        <w:autoSpaceDN w:val="0"/>
        <w:bidi w:val="0"/>
        <w:adjustRightInd w:val="0"/>
        <w:spacing w:after="0" w:line="240" w:lineRule="auto"/>
        <w:ind w:left="-1418" w:right="-1475"/>
        <w:jc w:val="lowKashida"/>
        <w:rPr>
          <w:lang w:bidi="ar-IQ"/>
        </w:rPr>
      </w:pPr>
      <w:r>
        <w:rPr>
          <w:rFonts w:ascii="MinionPro-Disp" w:cs="MinionPro-Disp"/>
          <w:sz w:val="20"/>
          <w:szCs w:val="20"/>
        </w:rPr>
        <w:t>Client education is multifaceted, i</w:t>
      </w:r>
      <w:r w:rsidR="00013CA7">
        <w:rPr>
          <w:rFonts w:ascii="MinionPro-Disp" w:cs="MinionPro-Disp"/>
          <w:sz w:val="20"/>
          <w:szCs w:val="20"/>
        </w:rPr>
        <w:t xml:space="preserve">nvolving promoting, protecting, </w:t>
      </w:r>
      <w:r>
        <w:rPr>
          <w:rFonts w:ascii="MinionPro-Disp" w:cs="MinionPro-Disp"/>
          <w:sz w:val="20"/>
          <w:szCs w:val="20"/>
        </w:rPr>
        <w:t>and maintaining health. It i</w:t>
      </w:r>
      <w:r w:rsidR="00CC4354">
        <w:rPr>
          <w:rFonts w:ascii="MinionPro-Disp" w:cs="MinionPro-Disp"/>
          <w:sz w:val="20"/>
          <w:szCs w:val="20"/>
        </w:rPr>
        <w:t xml:space="preserve">nvolves teaching about reducing </w:t>
      </w:r>
      <w:r>
        <w:rPr>
          <w:rFonts w:ascii="MinionPro-Disp" w:cs="MinionPro-Disp"/>
          <w:sz w:val="20"/>
          <w:szCs w:val="20"/>
        </w:rPr>
        <w:t>health risk factors, increasing a person</w:t>
      </w:r>
      <w:r>
        <w:rPr>
          <w:rFonts w:ascii="MinionPro-Disp" w:cs="MinionPro-Disp" w:hint="cs"/>
          <w:sz w:val="20"/>
          <w:szCs w:val="20"/>
        </w:rPr>
        <w:t>’</w:t>
      </w:r>
      <w:r>
        <w:rPr>
          <w:rFonts w:ascii="MinionPro-Disp" w:cs="MinionPro-Disp"/>
          <w:sz w:val="20"/>
          <w:szCs w:val="20"/>
        </w:rPr>
        <w:t>s level of wellness, and taking</w:t>
      </w:r>
      <w:r w:rsidR="00AD14FE">
        <w:rPr>
          <w:rFonts w:ascii="MinionPro-Disp" w:cs="MinionPro-Disp"/>
          <w:sz w:val="20"/>
          <w:szCs w:val="20"/>
        </w:rPr>
        <w:t xml:space="preserve"> </w:t>
      </w:r>
      <w:r>
        <w:rPr>
          <w:rFonts w:ascii="MinionPro-Disp" w:cs="MinionPro-Disp"/>
          <w:sz w:val="20"/>
          <w:szCs w:val="20"/>
        </w:rPr>
        <w:t xml:space="preserve">specific protective health measures. 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E6001A"/>
          <w:sz w:val="28"/>
          <w:szCs w:val="28"/>
        </w:rPr>
      </w:pPr>
      <w:r>
        <w:rPr>
          <w:rFonts w:ascii="HelveticaNeueLTStd-Bd" w:hAnsi="HelveticaNeueLTStd-Bd" w:cs="HelveticaNeueLTStd-Bd"/>
          <w:color w:val="E6001A"/>
          <w:sz w:val="28"/>
          <w:szCs w:val="28"/>
        </w:rPr>
        <w:t>TEACHING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475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Teaching </w:t>
      </w:r>
      <w:r>
        <w:rPr>
          <w:rFonts w:ascii="MinionPro-Disp" w:hAnsi="HelveticaNeueLTStd-Bd" w:cs="MinionPro-Disp"/>
          <w:color w:val="000000"/>
          <w:sz w:val="20"/>
          <w:szCs w:val="20"/>
        </w:rPr>
        <w:t>is a system of activitie</w:t>
      </w:r>
      <w:r w:rsidR="001C7971">
        <w:rPr>
          <w:rFonts w:ascii="MinionPro-Disp" w:hAnsi="HelveticaNeueLTStd-Bd" w:cs="MinionPro-Disp"/>
          <w:color w:val="000000"/>
          <w:sz w:val="20"/>
          <w:szCs w:val="20"/>
        </w:rPr>
        <w:t xml:space="preserve">s intended to produce learning. </w:t>
      </w:r>
      <w:r>
        <w:rPr>
          <w:rFonts w:ascii="MinionPro-Disp" w:hAnsi="HelveticaNeueLTStd-Bd" w:cs="MinionPro-Disp"/>
          <w:color w:val="000000"/>
          <w:sz w:val="20"/>
          <w:szCs w:val="20"/>
        </w:rPr>
        <w:t>The teaching process is intentional</w:t>
      </w:r>
      <w:r w:rsidR="00F70AE7">
        <w:rPr>
          <w:rFonts w:ascii="MinionPro-Disp" w:hAnsi="HelveticaNeueLTStd-Bd" w:cs="MinionPro-Disp"/>
          <w:color w:val="000000"/>
          <w:sz w:val="20"/>
          <w:szCs w:val="20"/>
        </w:rPr>
        <w:t xml:space="preserve">ly designed to produce specific </w:t>
      </w:r>
      <w:r>
        <w:rPr>
          <w:rFonts w:ascii="MinionPro-Disp" w:hAnsi="HelveticaNeueLTStd-Bd" w:cs="MinionPro-Disp"/>
          <w:color w:val="000000"/>
          <w:sz w:val="20"/>
          <w:szCs w:val="20"/>
        </w:rPr>
        <w:t>learning.</w:t>
      </w:r>
    </w:p>
    <w:p w:rsidR="008F579D" w:rsidRDefault="008F579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>The teaching</w:t>
      </w:r>
      <w:r>
        <w:rPr>
          <w:rFonts w:ascii="MinionPro-Disp" w:hAnsi="HelveticaNeueLTStd-Bd" w:cs="MinionPro-Disp" w:hint="cs"/>
          <w:color w:val="000000"/>
          <w:sz w:val="20"/>
          <w:szCs w:val="20"/>
        </w:rPr>
        <w:t>–</w:t>
      </w:r>
      <w:r>
        <w:rPr>
          <w:rFonts w:ascii="MinionPro-Disp" w:hAnsi="HelveticaNeueLTStd-Bd" w:cs="MinionPro-Disp"/>
          <w:color w:val="000000"/>
          <w:sz w:val="20"/>
          <w:szCs w:val="20"/>
        </w:rPr>
        <w:t>learning proce</w:t>
      </w:r>
      <w:r w:rsidR="008F579D">
        <w:rPr>
          <w:rFonts w:ascii="MinionPro-Disp" w:hAnsi="HelveticaNeueLTStd-Bd" w:cs="MinionPro-Disp"/>
          <w:color w:val="000000"/>
          <w:sz w:val="20"/>
          <w:szCs w:val="20"/>
        </w:rPr>
        <w:t xml:space="preserve">ss involves dynamic interaction </w:t>
      </w:r>
      <w:r>
        <w:rPr>
          <w:rFonts w:ascii="MinionPro-Disp" w:hAnsi="HelveticaNeueLTStd-Bd" w:cs="MinionPro-Disp"/>
          <w:color w:val="000000"/>
          <w:sz w:val="20"/>
          <w:szCs w:val="20"/>
        </w:rPr>
        <w:t>between teacher and learner. Each participant in the process communicates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>information, emotions, perceptions, and attitudes to the</w:t>
      </w:r>
      <w:r>
        <w:rPr>
          <w:lang w:bidi="ar-IQ"/>
        </w:rPr>
        <w:t xml:space="preserve"> </w:t>
      </w:r>
      <w:r>
        <w:rPr>
          <w:rFonts w:ascii="MinionPro-Disp" w:cs="MinionPro-Disp"/>
          <w:color w:val="000000"/>
          <w:sz w:val="20"/>
          <w:szCs w:val="20"/>
        </w:rPr>
        <w:t>other. The teaching process and the nursing process are much alike</w:t>
      </w:r>
      <w:r w:rsidR="008F579D">
        <w:rPr>
          <w:rFonts w:ascii="MinionPro-Disp" w:cs="MinionPro-Disp"/>
          <w:color w:val="000000"/>
          <w:sz w:val="20"/>
          <w:szCs w:val="20"/>
        </w:rPr>
        <w:t xml:space="preserve">. </w:t>
      </w:r>
    </w:p>
    <w:p w:rsidR="008F579D" w:rsidRDefault="008F579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 xml:space="preserve">Nurses teach a variety of learners </w:t>
      </w:r>
      <w:r w:rsidR="008F579D">
        <w:rPr>
          <w:rFonts w:ascii="MinionPro-Disp" w:cs="MinionPro-Disp"/>
          <w:color w:val="000000"/>
          <w:sz w:val="20"/>
          <w:szCs w:val="20"/>
        </w:rPr>
        <w:t xml:space="preserve">in various settings. They teach </w:t>
      </w:r>
      <w:r>
        <w:rPr>
          <w:rFonts w:ascii="MinionPro-Disp" w:cs="MinionPro-Disp"/>
          <w:color w:val="000000"/>
          <w:sz w:val="20"/>
          <w:szCs w:val="20"/>
        </w:rPr>
        <w:t>clients and their families or significant others in the hospital, primary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care clinics, urgent care, managed care</w:t>
      </w:r>
      <w:r w:rsidR="008F579D">
        <w:rPr>
          <w:rFonts w:ascii="MinionPro-Disp" w:cs="MinionPro-Disp"/>
          <w:color w:val="000000"/>
          <w:sz w:val="20"/>
          <w:szCs w:val="20"/>
        </w:rPr>
        <w:t xml:space="preserve">, the home, and assisted living </w:t>
      </w:r>
      <w:r>
        <w:rPr>
          <w:rFonts w:ascii="MinionPro-Disp" w:cs="MinionPro-Disp"/>
          <w:color w:val="000000"/>
          <w:sz w:val="20"/>
          <w:szCs w:val="20"/>
        </w:rPr>
        <w:t>and long-term care facilities. Nurses teach large</w:t>
      </w:r>
      <w:r w:rsidR="008F579D">
        <w:rPr>
          <w:rFonts w:ascii="MinionPro-Disp" w:cs="MinionPro-Disp"/>
          <w:color w:val="000000"/>
          <w:sz w:val="20"/>
          <w:szCs w:val="20"/>
        </w:rPr>
        <w:t xml:space="preserve"> and small groups of </w:t>
      </w:r>
      <w:r>
        <w:rPr>
          <w:rFonts w:ascii="MinionPro-Disp" w:cs="MinionPro-Disp"/>
          <w:color w:val="000000"/>
          <w:sz w:val="20"/>
          <w:szCs w:val="20"/>
        </w:rPr>
        <w:t>learners in community health education programs.</w:t>
      </w:r>
    </w:p>
    <w:p w:rsidR="008F579D" w:rsidRDefault="008F579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Nurses also teach professional c</w:t>
      </w:r>
      <w:r w:rsidR="008F579D">
        <w:rPr>
          <w:rFonts w:ascii="MinionPro-Disp" w:cs="MinionPro-Disp"/>
          <w:color w:val="000000"/>
          <w:sz w:val="20"/>
          <w:szCs w:val="20"/>
        </w:rPr>
        <w:t xml:space="preserve">olleagues and other health care </w:t>
      </w:r>
      <w:r>
        <w:rPr>
          <w:rFonts w:ascii="MinionPro-Disp" w:cs="MinionPro-Disp"/>
          <w:color w:val="000000"/>
          <w:sz w:val="20"/>
          <w:szCs w:val="20"/>
        </w:rPr>
        <w:t>personnel in academic institutions such as vocational schools, colleges,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and universities, and in health care facilities s</w:t>
      </w:r>
      <w:r w:rsidR="008F579D">
        <w:rPr>
          <w:rFonts w:ascii="MinionPro-Disp" w:cs="MinionPro-Disp"/>
          <w:color w:val="000000"/>
          <w:sz w:val="20"/>
          <w:szCs w:val="20"/>
        </w:rPr>
        <w:t xml:space="preserve">uch as hospitals </w:t>
      </w:r>
      <w:r>
        <w:rPr>
          <w:rFonts w:ascii="MinionPro-Disp" w:cs="MinionPro-Disp"/>
          <w:color w:val="000000"/>
          <w:sz w:val="20"/>
          <w:szCs w:val="20"/>
        </w:rPr>
        <w:t>or nursing homes.</w:t>
      </w:r>
    </w:p>
    <w:p w:rsidR="00F6179D" w:rsidRDefault="00F6179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33E6"/>
          <w:sz w:val="26"/>
          <w:szCs w:val="26"/>
        </w:rPr>
      </w:pP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33E6"/>
          <w:sz w:val="26"/>
          <w:szCs w:val="26"/>
        </w:rPr>
      </w:pPr>
      <w:r>
        <w:rPr>
          <w:rFonts w:ascii="HelveticaNeueLTStd-Bd" w:hAnsi="HelveticaNeueLTStd-Bd" w:cs="HelveticaNeueLTStd-Bd"/>
          <w:color w:val="0033E6"/>
          <w:sz w:val="26"/>
          <w:szCs w:val="26"/>
        </w:rPr>
        <w:t>Teaching Clients and Their Families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475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Nurses may teach individual clients i</w:t>
      </w:r>
      <w:r w:rsidR="00F6179D">
        <w:rPr>
          <w:rFonts w:ascii="MinionPro-Disp" w:cs="MinionPro-Disp"/>
          <w:color w:val="000000"/>
          <w:sz w:val="20"/>
          <w:szCs w:val="20"/>
        </w:rPr>
        <w:t xml:space="preserve">n one-to-one teaching episodes. </w:t>
      </w:r>
      <w:r>
        <w:rPr>
          <w:rFonts w:ascii="MinionPro-Disp" w:cs="MinionPro-Disp"/>
          <w:color w:val="000000"/>
          <w:sz w:val="20"/>
          <w:szCs w:val="20"/>
        </w:rPr>
        <w:t>For example, the nurse m</w:t>
      </w:r>
      <w:r w:rsidR="009B4703">
        <w:rPr>
          <w:rFonts w:ascii="MinionPro-Disp" w:cs="MinionPro-Disp"/>
          <w:color w:val="000000"/>
          <w:sz w:val="20"/>
          <w:szCs w:val="20"/>
        </w:rPr>
        <w:t xml:space="preserve">ay teach about wound care while </w:t>
      </w:r>
      <w:r>
        <w:rPr>
          <w:rFonts w:ascii="MinionPro-Disp" w:cs="MinionPro-Disp"/>
          <w:color w:val="000000"/>
          <w:sz w:val="20"/>
          <w:szCs w:val="20"/>
        </w:rPr>
        <w:t>changing</w:t>
      </w:r>
    </w:p>
    <w:p w:rsidR="00BA1BAB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a client</w:t>
      </w:r>
      <w:r>
        <w:rPr>
          <w:rFonts w:ascii="MinionPro-Disp" w:cs="MinionPro-Disp" w:hint="cs"/>
          <w:color w:val="000000"/>
          <w:sz w:val="20"/>
          <w:szCs w:val="20"/>
        </w:rPr>
        <w:t>’</w:t>
      </w:r>
      <w:r>
        <w:rPr>
          <w:rFonts w:ascii="MinionPro-Disp" w:cs="MinionPro-Disp"/>
          <w:color w:val="000000"/>
          <w:sz w:val="20"/>
          <w:szCs w:val="20"/>
        </w:rPr>
        <w:t>s dressing or may teach about diet, exerci</w:t>
      </w:r>
      <w:r w:rsidR="00BA1BAB">
        <w:rPr>
          <w:rFonts w:ascii="MinionPro-Disp" w:cs="MinionPro-Disp"/>
          <w:color w:val="000000"/>
          <w:sz w:val="20"/>
          <w:szCs w:val="20"/>
        </w:rPr>
        <w:t xml:space="preserve">se, and other lifestyle </w:t>
      </w:r>
      <w:r>
        <w:rPr>
          <w:rFonts w:ascii="MinionPro-Disp" w:cs="MinionPro-Disp"/>
          <w:color w:val="000000"/>
          <w:sz w:val="20"/>
          <w:szCs w:val="20"/>
        </w:rPr>
        <w:t>behaviors that minimize the risk of a he</w:t>
      </w:r>
      <w:r w:rsidR="00BA1BAB">
        <w:rPr>
          <w:rFonts w:ascii="MinionPro-Disp" w:cs="MinionPro-Disp"/>
          <w:color w:val="000000"/>
          <w:sz w:val="20"/>
          <w:szCs w:val="20"/>
        </w:rPr>
        <w:t xml:space="preserve">art attack for a client who has </w:t>
      </w:r>
      <w:r>
        <w:rPr>
          <w:rFonts w:ascii="MinionPro-Disp" w:cs="MinionPro-Disp"/>
          <w:color w:val="000000"/>
          <w:sz w:val="20"/>
          <w:szCs w:val="20"/>
        </w:rPr>
        <w:t>a cardiac problem.</w:t>
      </w:r>
    </w:p>
    <w:p w:rsidR="00BA1BAB" w:rsidRDefault="00BA1BAB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 xml:space="preserve"> The nurse may also</w:t>
      </w:r>
      <w:r w:rsidR="000C0AA2">
        <w:rPr>
          <w:rFonts w:ascii="MinionPro-Disp" w:cs="MinionPro-Disp"/>
          <w:color w:val="000000"/>
          <w:sz w:val="20"/>
          <w:szCs w:val="20"/>
        </w:rPr>
        <w:t xml:space="preserve"> be involved in teaching family </w:t>
      </w:r>
      <w:r>
        <w:rPr>
          <w:rFonts w:ascii="MinionPro-Disp" w:cs="MinionPro-Disp"/>
          <w:color w:val="000000"/>
          <w:sz w:val="20"/>
          <w:szCs w:val="20"/>
        </w:rPr>
        <w:t>members or other support people who are caring for the client.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Nurses working in obstetric and pe</w:t>
      </w:r>
      <w:r w:rsidR="000C0AA2">
        <w:rPr>
          <w:rFonts w:ascii="MinionPro-Disp" w:cs="MinionPro-Disp"/>
          <w:color w:val="000000"/>
          <w:sz w:val="20"/>
          <w:szCs w:val="20"/>
        </w:rPr>
        <w:t xml:space="preserve">diatric areas teach parents and </w:t>
      </w:r>
      <w:r>
        <w:rPr>
          <w:rFonts w:ascii="MinionPro-Disp" w:cs="MinionPro-Disp"/>
          <w:color w:val="000000"/>
          <w:sz w:val="20"/>
          <w:szCs w:val="20"/>
        </w:rPr>
        <w:t>sometimes grandparents how to care for children.</w:t>
      </w:r>
    </w:p>
    <w:p w:rsidR="0026617A" w:rsidRDefault="0026617A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Because of decreased length of h</w:t>
      </w:r>
      <w:r w:rsidR="0026617A">
        <w:rPr>
          <w:rFonts w:ascii="MinionPro-Disp" w:cs="MinionPro-Disp"/>
          <w:color w:val="000000"/>
          <w:sz w:val="20"/>
          <w:szCs w:val="20"/>
        </w:rPr>
        <w:t xml:space="preserve">ospital stays, time constraints </w:t>
      </w:r>
      <w:r>
        <w:rPr>
          <w:rFonts w:ascii="MinionPro-Disp" w:cs="MinionPro-Disp"/>
          <w:color w:val="000000"/>
          <w:sz w:val="20"/>
          <w:szCs w:val="20"/>
        </w:rPr>
        <w:t>on client education may occur. Nurses need to provide client education</w:t>
      </w:r>
    </w:p>
    <w:p w:rsidR="000F761D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that will ensure the client</w:t>
      </w:r>
      <w:r>
        <w:rPr>
          <w:rFonts w:ascii="MinionPro-Disp" w:cs="MinionPro-Disp" w:hint="cs"/>
          <w:color w:val="000000"/>
          <w:sz w:val="20"/>
          <w:szCs w:val="20"/>
        </w:rPr>
        <w:t>’</w:t>
      </w:r>
      <w:r>
        <w:rPr>
          <w:rFonts w:ascii="MinionPro-Disp" w:cs="MinionPro-Disp"/>
          <w:color w:val="000000"/>
          <w:sz w:val="20"/>
          <w:szCs w:val="20"/>
        </w:rPr>
        <w:t>s safe tr</w:t>
      </w:r>
      <w:r w:rsidR="0026617A">
        <w:rPr>
          <w:rFonts w:ascii="MinionPro-Disp" w:cs="MinionPro-Disp"/>
          <w:color w:val="000000"/>
          <w:sz w:val="20"/>
          <w:szCs w:val="20"/>
        </w:rPr>
        <w:t xml:space="preserve">ansition from one level of care </w:t>
      </w:r>
      <w:r>
        <w:rPr>
          <w:rFonts w:ascii="MinionPro-Disp" w:cs="MinionPro-Disp"/>
          <w:color w:val="000000"/>
          <w:sz w:val="20"/>
          <w:szCs w:val="20"/>
        </w:rPr>
        <w:t>to another and make appropriate plans for follow-up education in</w:t>
      </w:r>
    </w:p>
    <w:p w:rsidR="000F761D" w:rsidRPr="0026617A" w:rsidRDefault="000F761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the client</w:t>
      </w:r>
      <w:r>
        <w:rPr>
          <w:rFonts w:ascii="MinionPro-Disp" w:cs="MinionPro-Disp" w:hint="cs"/>
          <w:color w:val="000000"/>
          <w:sz w:val="20"/>
          <w:szCs w:val="20"/>
        </w:rPr>
        <w:t>’</w:t>
      </w:r>
      <w:r>
        <w:rPr>
          <w:rFonts w:ascii="MinionPro-Disp" w:cs="MinionPro-Disp"/>
          <w:color w:val="000000"/>
          <w:sz w:val="20"/>
          <w:szCs w:val="20"/>
        </w:rPr>
        <w:t>s home. Discharge plans</w:t>
      </w:r>
      <w:r w:rsidR="0026617A">
        <w:rPr>
          <w:rFonts w:ascii="MinionPro-Disp" w:cs="MinionPro-Disp"/>
          <w:color w:val="000000"/>
          <w:sz w:val="20"/>
          <w:szCs w:val="20"/>
        </w:rPr>
        <w:t xml:space="preserve"> must include information about </w:t>
      </w:r>
      <w:r>
        <w:rPr>
          <w:rFonts w:ascii="MinionPro-Disp" w:cs="MinionPro-Disp"/>
          <w:color w:val="000000"/>
          <w:sz w:val="20"/>
          <w:szCs w:val="20"/>
        </w:rPr>
        <w:t>what the client has been taught before transfer or discharge and what</w:t>
      </w:r>
      <w:r>
        <w:rPr>
          <w:rFonts w:ascii="MinionPro-Disp" w:cs="MinionPro-Disp"/>
          <w:color w:val="000000"/>
          <w:sz w:val="20"/>
          <w:szCs w:val="20"/>
        </w:rPr>
        <w:t xml:space="preserve"> </w:t>
      </w:r>
      <w:r w:rsidR="00931C6D">
        <w:rPr>
          <w:rFonts w:ascii="MinionPro-Disp" w:cs="MinionPro-Disp"/>
          <w:sz w:val="20"/>
          <w:szCs w:val="20"/>
        </w:rPr>
        <w:t>remains for the client to learn to perform self-care in the home or</w:t>
      </w:r>
      <w:r w:rsidR="0026617A">
        <w:rPr>
          <w:rFonts w:ascii="MinionPro-Disp" w:cs="MinionPro-Disp"/>
          <w:color w:val="000000"/>
          <w:sz w:val="20"/>
          <w:szCs w:val="20"/>
        </w:rPr>
        <w:t xml:space="preserve"> </w:t>
      </w:r>
      <w:r w:rsidR="00931C6D">
        <w:rPr>
          <w:rFonts w:ascii="MinionPro-Disp" w:cs="MinionPro-Disp"/>
          <w:sz w:val="20"/>
          <w:szCs w:val="20"/>
        </w:rPr>
        <w:t>other residence</w:t>
      </w:r>
      <w:r w:rsidR="00931C6D">
        <w:rPr>
          <w:rFonts w:ascii="MinionPro-Disp" w:cs="MinionPro-Disp"/>
          <w:sz w:val="20"/>
          <w:szCs w:val="20"/>
        </w:rPr>
        <w:t xml:space="preserve">. </w:t>
      </w:r>
    </w:p>
    <w:p w:rsidR="00931C6D" w:rsidRDefault="00931C6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E6001A"/>
          <w:sz w:val="28"/>
          <w:szCs w:val="28"/>
        </w:rPr>
      </w:pPr>
      <w:r>
        <w:rPr>
          <w:rFonts w:ascii="HelveticaNeueLTStd-Bd" w:hAnsi="HelveticaNeueLTStd-Bd" w:cs="HelveticaNeueLTStd-Bd"/>
          <w:color w:val="E6001A"/>
          <w:sz w:val="28"/>
          <w:szCs w:val="28"/>
        </w:rPr>
        <w:t>LEARNING</w:t>
      </w:r>
    </w:p>
    <w:p w:rsidR="00931C6D" w:rsidRPr="0005109A" w:rsidRDefault="00931C6D" w:rsidP="008855C1">
      <w:pPr>
        <w:autoSpaceDE w:val="0"/>
        <w:autoSpaceDN w:val="0"/>
        <w:bidi w:val="0"/>
        <w:adjustRightInd w:val="0"/>
        <w:spacing w:after="0" w:line="240" w:lineRule="auto"/>
        <w:ind w:left="-1418" w:right="-1475"/>
        <w:jc w:val="lowKashida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 xml:space="preserve">Like all people, clients have a variety of learning needs. A </w:t>
      </w:r>
      <w:r w:rsidR="0005109A"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learning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need </w:t>
      </w:r>
      <w:r>
        <w:rPr>
          <w:rFonts w:ascii="MinionPro-Disp" w:hAnsi="HelveticaNeueLTStd-Bd" w:cs="MinionPro-Disp"/>
          <w:color w:val="000000"/>
          <w:sz w:val="20"/>
          <w:szCs w:val="20"/>
        </w:rPr>
        <w:t>is a desire or a requirement to know something that is presently</w:t>
      </w:r>
    </w:p>
    <w:p w:rsidR="00931C6D" w:rsidRDefault="00931C6D" w:rsidP="00E359D3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 xml:space="preserve">unknown to the learner. Learning needs </w:t>
      </w:r>
      <w:r w:rsidR="00E359D3">
        <w:rPr>
          <w:rFonts w:ascii="MinionPro-Disp" w:hAnsi="HelveticaNeueLTStd-Bd" w:cs="MinionPro-Disp"/>
          <w:color w:val="000000"/>
          <w:sz w:val="20"/>
          <w:szCs w:val="20"/>
        </w:rPr>
        <w:t xml:space="preserve">include new knowledge or </w:t>
      </w:r>
      <w:r>
        <w:rPr>
          <w:rFonts w:ascii="MinionPro-Disp" w:hAnsi="HelveticaNeueLTStd-Bd" w:cs="MinionPro-Disp"/>
          <w:color w:val="000000"/>
          <w:sz w:val="20"/>
          <w:szCs w:val="20"/>
        </w:rPr>
        <w:t>information but can also include a new or different skill or physical</w:t>
      </w:r>
    </w:p>
    <w:p w:rsidR="00931C6D" w:rsidRDefault="00931C6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>ability, or a new behavior or a need to change an old behavior.</w:t>
      </w:r>
    </w:p>
    <w:p w:rsidR="00E359D3" w:rsidRDefault="00E359D3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18"/>
          <w:szCs w:val="18"/>
        </w:rPr>
      </w:pPr>
    </w:p>
    <w:p w:rsidR="00931C6D" w:rsidRDefault="00931C6D" w:rsidP="00E359D3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>Learning</w:t>
      </w:r>
    </w:p>
    <w:p w:rsidR="00931C6D" w:rsidRDefault="00AC6EDB" w:rsidP="00AC6EDB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>I</w:t>
      </w:r>
      <w:r w:rsidR="00931C6D">
        <w:rPr>
          <w:rFonts w:ascii="MinionPro-Disp" w:hAnsi="HelveticaNeueLTStd-Bd" w:cs="MinionPro-Disp"/>
          <w:color w:val="000000"/>
          <w:sz w:val="20"/>
          <w:szCs w:val="20"/>
        </w:rPr>
        <w:t>s a change in human disposit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ion or capability that persists </w:t>
      </w:r>
      <w:r w:rsidR="00931C6D">
        <w:rPr>
          <w:rFonts w:ascii="MinionPro-Disp" w:hAnsi="HelveticaNeueLTStd-Bd" w:cs="MinionPro-Disp"/>
          <w:color w:val="000000"/>
          <w:sz w:val="20"/>
          <w:szCs w:val="20"/>
        </w:rPr>
        <w:t>and that cannot be solely accounted for by growth. Learning is represented</w:t>
      </w:r>
    </w:p>
    <w:p w:rsidR="00931C6D" w:rsidRDefault="00931C6D" w:rsidP="00AC6EDB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lang w:bidi="ar-IQ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 xml:space="preserve">by a change in behavior. </w:t>
      </w:r>
    </w:p>
    <w:p w:rsidR="00931C6D" w:rsidRDefault="00931C6D" w:rsidP="008855C1">
      <w:pPr>
        <w:bidi w:val="0"/>
        <w:ind w:left="-1418" w:right="-1192"/>
        <w:jc w:val="lowKashida"/>
        <w:rPr>
          <w:lang w:bidi="ar-IQ"/>
        </w:rPr>
      </w:pPr>
      <w:r>
        <w:rPr>
          <w:rFonts w:ascii="HelveticaNeueLTStd-Bd" w:hAnsi="HelveticaNeueLTStd-Bd" w:cs="HelveticaNeueLTStd-Bd"/>
          <w:color w:val="0033E6"/>
          <w:sz w:val="26"/>
          <w:szCs w:val="26"/>
        </w:rPr>
        <w:t>Learning Domains</w:t>
      </w:r>
    </w:p>
    <w:p w:rsidR="00931C6D" w:rsidRDefault="00931C6D" w:rsidP="00AC6EDB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sz w:val="20"/>
          <w:szCs w:val="20"/>
        </w:rPr>
      </w:pPr>
      <w:r>
        <w:rPr>
          <w:rFonts w:ascii="MinionPro-Disp" w:cs="MinionPro-Disp"/>
          <w:sz w:val="20"/>
          <w:szCs w:val="20"/>
        </w:rPr>
        <w:t>Bloom (1956) identified three domains o</w:t>
      </w:r>
      <w:r w:rsidR="00AC6EDB">
        <w:rPr>
          <w:rFonts w:ascii="MinionPro-Disp" w:cs="MinionPro-Disp"/>
          <w:sz w:val="20"/>
          <w:szCs w:val="20"/>
        </w:rPr>
        <w:t xml:space="preserve">r areas of learning: cognitive, </w:t>
      </w:r>
      <w:r>
        <w:rPr>
          <w:rFonts w:ascii="MinionPro-Disp" w:cs="MinionPro-Disp"/>
          <w:sz w:val="20"/>
          <w:szCs w:val="20"/>
        </w:rPr>
        <w:t xml:space="preserve">affective, and psychomotor. The </w:t>
      </w:r>
      <w:r>
        <w:rPr>
          <w:rFonts w:ascii="HelveticaNeueLTStd-Bd" w:hAnsi="HelveticaNeueLTStd-Bd" w:cs="HelveticaNeueLTStd-Bd"/>
          <w:sz w:val="18"/>
          <w:szCs w:val="18"/>
        </w:rPr>
        <w:t>cognitive domain</w:t>
      </w:r>
      <w:r>
        <w:rPr>
          <w:rFonts w:ascii="MinionPro-Disp" w:cs="MinionPro-Disp"/>
          <w:sz w:val="20"/>
          <w:szCs w:val="20"/>
        </w:rPr>
        <w:t xml:space="preserve">, the </w:t>
      </w:r>
      <w:r>
        <w:rPr>
          <w:rFonts w:ascii="MinionPro-Disp" w:cs="MinionPro-Disp" w:hint="cs"/>
          <w:sz w:val="20"/>
          <w:szCs w:val="20"/>
        </w:rPr>
        <w:t>“</w:t>
      </w:r>
      <w:r>
        <w:rPr>
          <w:rFonts w:ascii="MinionPro-Disp" w:cs="MinionPro-Disp"/>
          <w:sz w:val="20"/>
          <w:szCs w:val="20"/>
        </w:rPr>
        <w:t>thinking</w:t>
      </w:r>
      <w:r>
        <w:rPr>
          <w:rFonts w:ascii="MinionPro-Disp" w:cs="MinionPro-Disp" w:hint="cs"/>
          <w:sz w:val="20"/>
          <w:szCs w:val="20"/>
        </w:rPr>
        <w:t>”</w:t>
      </w:r>
    </w:p>
    <w:p w:rsidR="00931C6D" w:rsidRDefault="00931C6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sz w:val="20"/>
          <w:szCs w:val="20"/>
        </w:rPr>
        <w:t>domain, includes six intellectual abilities and thinking processes</w:t>
      </w:r>
      <w:r>
        <w:rPr>
          <w:lang w:bidi="ar-IQ"/>
        </w:rPr>
        <w:t xml:space="preserve"> </w:t>
      </w:r>
      <w:r>
        <w:rPr>
          <w:rFonts w:ascii="MinionPro-Disp" w:cs="MinionPro-Disp"/>
          <w:color w:val="000000"/>
          <w:sz w:val="20"/>
          <w:szCs w:val="20"/>
        </w:rPr>
        <w:t>beginning with knowing, comprehending, and applying to analysis,</w:t>
      </w:r>
    </w:p>
    <w:p w:rsidR="00091435" w:rsidRDefault="00931C6D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 xml:space="preserve">synthesis, and evaluation. </w:t>
      </w:r>
    </w:p>
    <w:p w:rsidR="00091435" w:rsidRDefault="00091435" w:rsidP="00091435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</w:p>
    <w:p w:rsidR="00931C6D" w:rsidRDefault="00931C6D" w:rsidP="00091435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 xml:space="preserve">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affective domain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, known as the </w:t>
      </w:r>
      <w:r>
        <w:rPr>
          <w:rFonts w:ascii="MinionPro-Disp" w:cs="MinionPro-Disp" w:hint="cs"/>
          <w:color w:val="000000"/>
          <w:sz w:val="20"/>
          <w:szCs w:val="20"/>
        </w:rPr>
        <w:t>“</w:t>
      </w:r>
      <w:r>
        <w:rPr>
          <w:rFonts w:ascii="MinionPro-Disp" w:cs="MinionPro-Disp"/>
          <w:color w:val="000000"/>
          <w:sz w:val="20"/>
          <w:szCs w:val="20"/>
        </w:rPr>
        <w:t>feeling</w:t>
      </w:r>
      <w:r>
        <w:rPr>
          <w:rFonts w:ascii="MinionPro-Disp" w:cs="MinionPro-Disp" w:hint="cs"/>
          <w:color w:val="000000"/>
          <w:sz w:val="20"/>
          <w:szCs w:val="20"/>
        </w:rPr>
        <w:t>”</w:t>
      </w:r>
      <w:r>
        <w:rPr>
          <w:rFonts w:ascii="MinionPro-Disp" w:cs="MinionPro-Disp"/>
          <w:color w:val="000000"/>
          <w:sz w:val="20"/>
          <w:szCs w:val="20"/>
        </w:rPr>
        <w:t xml:space="preserve"> domain, deals with personal issues such as </w:t>
      </w:r>
      <w:r>
        <w:rPr>
          <w:rFonts w:ascii="MinionPro-Disp" w:cs="MinionPro-Disp" w:hint="cs"/>
          <w:color w:val="000000"/>
          <w:sz w:val="20"/>
          <w:szCs w:val="20"/>
        </w:rPr>
        <w:t>“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attitudes, beliefs, </w:t>
      </w:r>
      <w:r>
        <w:rPr>
          <w:rFonts w:ascii="MinionPro-Disp" w:cs="MinionPro-Disp"/>
          <w:color w:val="000000"/>
          <w:sz w:val="20"/>
          <w:szCs w:val="20"/>
        </w:rPr>
        <w:t>behaviors, and emotions</w:t>
      </w:r>
      <w:r>
        <w:rPr>
          <w:rFonts w:ascii="MinionPro-Disp" w:cs="MinionPro-Disp" w:hint="cs"/>
          <w:color w:val="000000"/>
          <w:sz w:val="20"/>
          <w:szCs w:val="20"/>
        </w:rPr>
        <w:t>”</w:t>
      </w:r>
      <w:r>
        <w:rPr>
          <w:rFonts w:ascii="MinionPro-Disp" w:cs="MinionPro-Disp"/>
          <w:color w:val="000000"/>
          <w:sz w:val="20"/>
          <w:szCs w:val="20"/>
        </w:rPr>
        <w:t xml:space="preserve"> 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psychomotor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domain</w:t>
      </w:r>
      <w:r>
        <w:rPr>
          <w:rFonts w:ascii="MinionPro-Disp" w:cs="MinionPro-Disp"/>
          <w:color w:val="000000"/>
          <w:sz w:val="20"/>
          <w:szCs w:val="20"/>
        </w:rPr>
        <w:t xml:space="preserve">, the </w:t>
      </w:r>
      <w:r>
        <w:rPr>
          <w:rFonts w:ascii="MinionPro-Disp" w:cs="MinionPro-Disp" w:hint="cs"/>
          <w:color w:val="000000"/>
          <w:sz w:val="20"/>
          <w:szCs w:val="20"/>
        </w:rPr>
        <w:t>“</w:t>
      </w:r>
      <w:r>
        <w:rPr>
          <w:rFonts w:ascii="MinionPro-Disp" w:cs="MinionPro-Disp"/>
          <w:color w:val="000000"/>
          <w:sz w:val="20"/>
          <w:szCs w:val="20"/>
        </w:rPr>
        <w:t>skill</w:t>
      </w:r>
      <w:r>
        <w:rPr>
          <w:rFonts w:ascii="MinionPro-Disp" w:cs="MinionPro-Disp" w:hint="cs"/>
          <w:color w:val="000000"/>
          <w:sz w:val="20"/>
          <w:szCs w:val="20"/>
        </w:rPr>
        <w:t>”</w:t>
      </w:r>
      <w:r>
        <w:rPr>
          <w:rFonts w:ascii="MinionPro-Disp" w:cs="MinionPro-Disp"/>
          <w:color w:val="000000"/>
          <w:sz w:val="20"/>
          <w:szCs w:val="20"/>
        </w:rPr>
        <w:t xml:space="preserve"> 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domain, includes fine and gross </w:t>
      </w:r>
      <w:r>
        <w:rPr>
          <w:rFonts w:ascii="MinionPro-Disp" w:cs="MinionPro-Disp"/>
          <w:color w:val="000000"/>
          <w:sz w:val="20"/>
          <w:szCs w:val="20"/>
        </w:rPr>
        <w:t>motor abilities such as giving an injection.</w:t>
      </w:r>
    </w:p>
    <w:p w:rsidR="00091435" w:rsidRDefault="00091435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</w:p>
    <w:p w:rsidR="00931C6D" w:rsidRDefault="00931C6D" w:rsidP="00091435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Nurses should include each of Bloom</w:t>
      </w:r>
      <w:r>
        <w:rPr>
          <w:rFonts w:ascii="MinionPro-Disp" w:cs="MinionPro-Disp" w:hint="cs"/>
          <w:color w:val="000000"/>
          <w:sz w:val="20"/>
          <w:szCs w:val="20"/>
        </w:rPr>
        <w:t>’</w:t>
      </w:r>
      <w:r>
        <w:rPr>
          <w:rFonts w:ascii="MinionPro-Disp" w:cs="MinionPro-Disp"/>
          <w:color w:val="000000"/>
          <w:sz w:val="20"/>
          <w:szCs w:val="20"/>
        </w:rPr>
        <w:t>s three domains in c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lient </w:t>
      </w:r>
      <w:r>
        <w:rPr>
          <w:rFonts w:ascii="MinionPro-Disp" w:cs="MinionPro-Disp"/>
          <w:color w:val="000000"/>
          <w:sz w:val="20"/>
          <w:szCs w:val="20"/>
        </w:rPr>
        <w:t>teaching plans. For example, teaching a client how to self-administer</w:t>
      </w:r>
    </w:p>
    <w:p w:rsidR="00931C6D" w:rsidRDefault="00931C6D" w:rsidP="00091435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insulin is in the psychomotor d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omain. But an important part of </w:t>
      </w:r>
      <w:r>
        <w:rPr>
          <w:rFonts w:ascii="MinionPro-Disp" w:cs="MinionPro-Disp"/>
          <w:color w:val="000000"/>
          <w:sz w:val="20"/>
          <w:szCs w:val="20"/>
        </w:rPr>
        <w:t>a teaching plan for a client with diabetes is to teach why insulin is</w:t>
      </w:r>
    </w:p>
    <w:p w:rsidR="00931C6D" w:rsidRDefault="00931C6D" w:rsidP="009570B8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color w:val="000000"/>
          <w:sz w:val="20"/>
          <w:szCs w:val="20"/>
        </w:rPr>
      </w:pPr>
      <w:r>
        <w:rPr>
          <w:rFonts w:ascii="MinionPro-Disp" w:cs="MinionPro-Disp"/>
          <w:color w:val="000000"/>
          <w:sz w:val="20"/>
          <w:szCs w:val="20"/>
        </w:rPr>
        <w:t>needed and what to do when not feeling</w:t>
      </w:r>
      <w:r w:rsidR="00091435">
        <w:rPr>
          <w:rFonts w:ascii="MinionPro-Disp" w:cs="MinionPro-Disp"/>
          <w:color w:val="000000"/>
          <w:sz w:val="20"/>
          <w:szCs w:val="20"/>
        </w:rPr>
        <w:t xml:space="preserve"> well; this is in the cognitive </w:t>
      </w:r>
      <w:r>
        <w:rPr>
          <w:rFonts w:ascii="MinionPro-Disp" w:cs="MinionPro-Disp"/>
          <w:color w:val="000000"/>
          <w:sz w:val="20"/>
          <w:szCs w:val="20"/>
        </w:rPr>
        <w:t>domain. Helping the client accept the c</w:t>
      </w:r>
      <w:r w:rsidR="009570B8">
        <w:rPr>
          <w:rFonts w:ascii="MinionPro-Disp" w:cs="MinionPro-Disp"/>
          <w:color w:val="000000"/>
          <w:sz w:val="20"/>
          <w:szCs w:val="20"/>
        </w:rPr>
        <w:t xml:space="preserve">hronic implications of diabetes </w:t>
      </w:r>
      <w:r>
        <w:rPr>
          <w:rFonts w:ascii="MinionPro-Disp" w:cs="MinionPro-Disp"/>
          <w:color w:val="000000"/>
          <w:sz w:val="20"/>
          <w:szCs w:val="20"/>
        </w:rPr>
        <w:t>and maintain self-esteem is in the affective domain.</w:t>
      </w:r>
    </w:p>
    <w:p w:rsidR="00112711" w:rsidRDefault="00112711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33E6"/>
          <w:sz w:val="26"/>
          <w:szCs w:val="26"/>
        </w:rPr>
      </w:pPr>
    </w:p>
    <w:p w:rsidR="00241D8A" w:rsidRDefault="00241D8A" w:rsidP="0011271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33E6"/>
          <w:sz w:val="26"/>
          <w:szCs w:val="26"/>
        </w:rPr>
      </w:pPr>
      <w:r>
        <w:rPr>
          <w:rFonts w:ascii="HelveticaNeueLTStd-Bd" w:hAnsi="HelveticaNeueLTStd-Bd" w:cs="HelveticaNeueLTStd-Bd"/>
          <w:color w:val="0033E6"/>
          <w:sz w:val="26"/>
          <w:szCs w:val="26"/>
        </w:rPr>
        <w:t>Factors Affecting Learning</w:t>
      </w:r>
    </w:p>
    <w:p w:rsidR="00241D8A" w:rsidRDefault="00241D8A" w:rsidP="00E04247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 xml:space="preserve">Many factors can facilitate or hinder </w:t>
      </w:r>
      <w:r w:rsidR="00E04247">
        <w:rPr>
          <w:rFonts w:ascii="MinionPro-Disp" w:hAnsi="HelveticaNeueLTStd-Bd" w:cs="MinionPro-Disp"/>
          <w:color w:val="000000"/>
          <w:sz w:val="20"/>
          <w:szCs w:val="20"/>
        </w:rPr>
        <w:t xml:space="preserve">learning by a client. The nurse </w:t>
      </w:r>
      <w:r>
        <w:rPr>
          <w:rFonts w:ascii="MinionPro-Disp" w:hAnsi="HelveticaNeueLTStd-Bd" w:cs="MinionPro-Disp"/>
          <w:color w:val="000000"/>
          <w:sz w:val="20"/>
          <w:szCs w:val="20"/>
        </w:rPr>
        <w:t>should be aware of these factors, parti</w:t>
      </w:r>
      <w:r w:rsidR="00E04247">
        <w:rPr>
          <w:rFonts w:ascii="MinionPro-Disp" w:hAnsi="HelveticaNeueLTStd-Bd" w:cs="MinionPro-Disp"/>
          <w:color w:val="000000"/>
          <w:sz w:val="20"/>
          <w:szCs w:val="20"/>
        </w:rPr>
        <w:t xml:space="preserve">cularly when available teaching </w:t>
      </w:r>
      <w:r>
        <w:rPr>
          <w:rFonts w:ascii="MinionPro-Disp" w:hAnsi="HelveticaNeueLTStd-Bd" w:cs="MinionPro-Disp"/>
          <w:color w:val="000000"/>
          <w:sz w:val="20"/>
          <w:szCs w:val="20"/>
        </w:rPr>
        <w:t>time is limited.</w:t>
      </w:r>
    </w:p>
    <w:p w:rsidR="00686FDB" w:rsidRDefault="00686FDB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21"/>
          <w:szCs w:val="21"/>
        </w:rPr>
      </w:pPr>
    </w:p>
    <w:p w:rsidR="00686FDB" w:rsidRDefault="00686FDB" w:rsidP="00686FDB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21"/>
          <w:szCs w:val="21"/>
        </w:rPr>
      </w:pPr>
    </w:p>
    <w:p w:rsidR="00241D8A" w:rsidRDefault="00EC5A4C" w:rsidP="00686FDB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21"/>
          <w:szCs w:val="21"/>
        </w:rPr>
      </w:pPr>
      <w:r>
        <w:rPr>
          <w:rFonts w:ascii="HelveticaNeueLTStd-Bd" w:hAnsi="HelveticaNeueLTStd-Bd" w:cs="HelveticaNeueLTStd-Bd"/>
          <w:color w:val="000000"/>
          <w:sz w:val="21"/>
          <w:szCs w:val="21"/>
        </w:rPr>
        <w:lastRenderedPageBreak/>
        <w:t>Age and developmental stage</w:t>
      </w:r>
    </w:p>
    <w:p w:rsidR="004E208F" w:rsidRDefault="00241D8A" w:rsidP="004E208F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>The nurse needs to consider the age and developmental stage of the</w:t>
      </w:r>
      <w:r w:rsidR="00EC5A4C">
        <w:rPr>
          <w:rFonts w:ascii="MinionPro-Disp" w:hAnsi="HelveticaNeueLTStd-Bd" w:cs="MinionPro-Disp"/>
          <w:color w:val="000000"/>
          <w:sz w:val="20"/>
          <w:szCs w:val="20"/>
        </w:rPr>
        <w:t xml:space="preserve"> </w:t>
      </w:r>
      <w:r>
        <w:rPr>
          <w:rFonts w:ascii="MinionPro-Disp" w:hAnsi="HelveticaNeueLTStd-Bd" w:cs="MinionPro-Disp"/>
          <w:color w:val="000000"/>
          <w:sz w:val="20"/>
          <w:szCs w:val="20"/>
        </w:rPr>
        <w:t>learner because they influence the client</w:t>
      </w:r>
      <w:r>
        <w:rPr>
          <w:rFonts w:ascii="MinionPro-Disp" w:hAnsi="HelveticaNeueLTStd-Bd" w:cs="MinionPro-Disp" w:hint="cs"/>
          <w:color w:val="000000"/>
          <w:sz w:val="20"/>
          <w:szCs w:val="20"/>
        </w:rPr>
        <w:t>’</w:t>
      </w:r>
      <w:r w:rsidR="004E208F">
        <w:rPr>
          <w:rFonts w:ascii="MinionPro-Disp" w:hAnsi="HelveticaNeueLTStd-Bd" w:cs="MinionPro-Disp"/>
          <w:color w:val="000000"/>
          <w:sz w:val="20"/>
          <w:szCs w:val="20"/>
        </w:rPr>
        <w:t xml:space="preserve">s ability to learn. </w:t>
      </w:r>
    </w:p>
    <w:p w:rsidR="004E208F" w:rsidRDefault="004E208F" w:rsidP="004E208F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</w:p>
    <w:p w:rsidR="00241D8A" w:rsidRDefault="004E208F" w:rsidP="001567CD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 xml:space="preserve">Three major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developmental stage factors associated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with learner readiness include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physical, cognitive, and psychosocial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maturation. These factors must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be considered at each developmental p</w:t>
      </w:r>
      <w:r w:rsidR="001567CD">
        <w:rPr>
          <w:rFonts w:ascii="MinionPro-Disp" w:hAnsi="HelveticaNeueLTStd-Bd" w:cs="MinionPro-Disp"/>
          <w:color w:val="000000"/>
          <w:sz w:val="20"/>
          <w:szCs w:val="20"/>
        </w:rPr>
        <w:t xml:space="preserve">eriod throughout the life cycle. </w:t>
      </w:r>
    </w:p>
    <w:p w:rsidR="00241D8A" w:rsidRDefault="00842C22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21"/>
          <w:szCs w:val="21"/>
        </w:rPr>
      </w:pPr>
      <w:r>
        <w:rPr>
          <w:rFonts w:ascii="HelveticaNeueLTStd-Bd" w:hAnsi="HelveticaNeueLTStd-Bd" w:cs="HelveticaNeueLTStd-Bd"/>
          <w:color w:val="000000"/>
          <w:sz w:val="21"/>
          <w:szCs w:val="21"/>
        </w:rPr>
        <w:t>Motivation</w:t>
      </w:r>
    </w:p>
    <w:p w:rsidR="00890720" w:rsidRDefault="00241D8A" w:rsidP="00890720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Motivation </w:t>
      </w:r>
      <w:r>
        <w:rPr>
          <w:rFonts w:ascii="MinionPro-Disp" w:hAnsi="HelveticaNeueLTStd-Bd" w:cs="MinionPro-Disp"/>
          <w:color w:val="000000"/>
          <w:sz w:val="20"/>
          <w:szCs w:val="20"/>
        </w:rPr>
        <w:t>to learn is the desire to l</w:t>
      </w:r>
      <w:r w:rsidR="00762C5F">
        <w:rPr>
          <w:rFonts w:ascii="MinionPro-Disp" w:hAnsi="HelveticaNeueLTStd-Bd" w:cs="MinionPro-Disp"/>
          <w:color w:val="000000"/>
          <w:sz w:val="20"/>
          <w:szCs w:val="20"/>
        </w:rPr>
        <w:t xml:space="preserve">earn. It greatly influences how </w:t>
      </w:r>
      <w:r>
        <w:rPr>
          <w:rFonts w:ascii="MinionPro-Disp" w:hAnsi="HelveticaNeueLTStd-Bd" w:cs="MinionPro-Disp"/>
          <w:color w:val="000000"/>
          <w:sz w:val="20"/>
          <w:szCs w:val="20"/>
        </w:rPr>
        <w:t>quickly and how much a person learns. M</w:t>
      </w:r>
      <w:r w:rsidR="00695F95">
        <w:rPr>
          <w:rFonts w:ascii="MinionPro-Disp" w:hAnsi="HelveticaNeueLTStd-Bd" w:cs="MinionPro-Disp"/>
          <w:color w:val="000000"/>
          <w:sz w:val="20"/>
          <w:szCs w:val="20"/>
        </w:rPr>
        <w:t xml:space="preserve">otivation is generally greatest </w:t>
      </w:r>
      <w:r>
        <w:rPr>
          <w:rFonts w:ascii="MinionPro-Disp" w:hAnsi="HelveticaNeueLTStd-Bd" w:cs="MinionPro-Disp"/>
          <w:color w:val="000000"/>
          <w:sz w:val="20"/>
          <w:szCs w:val="20"/>
        </w:rPr>
        <w:t>when a person recognizes a need an</w:t>
      </w:r>
      <w:r w:rsidR="00695F95">
        <w:rPr>
          <w:rFonts w:ascii="MinionPro-Disp" w:hAnsi="HelveticaNeueLTStd-Bd" w:cs="MinionPro-Disp"/>
          <w:color w:val="000000"/>
          <w:sz w:val="20"/>
          <w:szCs w:val="20"/>
        </w:rPr>
        <w:t xml:space="preserve">d believes the need will be met </w:t>
      </w:r>
      <w:r>
        <w:rPr>
          <w:rFonts w:ascii="MinionPro-Disp" w:hAnsi="HelveticaNeueLTStd-Bd" w:cs="MinionPro-Disp"/>
          <w:color w:val="000000"/>
          <w:sz w:val="20"/>
          <w:szCs w:val="20"/>
        </w:rPr>
        <w:t>through learning. It is not enough fo</w:t>
      </w:r>
      <w:r w:rsidR="00890720">
        <w:rPr>
          <w:rFonts w:ascii="MinionPro-Disp" w:hAnsi="HelveticaNeueLTStd-Bd" w:cs="MinionPro-Disp"/>
          <w:color w:val="000000"/>
          <w:sz w:val="20"/>
          <w:szCs w:val="20"/>
        </w:rPr>
        <w:t xml:space="preserve">r the need to be identified and </w:t>
      </w:r>
      <w:r>
        <w:rPr>
          <w:rFonts w:ascii="MinionPro-Disp" w:hAnsi="HelveticaNeueLTStd-Bd" w:cs="MinionPro-Disp"/>
          <w:color w:val="000000"/>
          <w:sz w:val="20"/>
          <w:szCs w:val="20"/>
        </w:rPr>
        <w:t>verbalized by the nurse; it must be experienced by the client.</w:t>
      </w:r>
    </w:p>
    <w:p w:rsidR="00241D8A" w:rsidRDefault="00890720" w:rsidP="00890720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Often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the nurse</w:t>
      </w:r>
      <w:r w:rsidR="00241D8A">
        <w:rPr>
          <w:rFonts w:ascii="MinionPro-Disp" w:hAnsi="HelveticaNeueLTStd-Bd" w:cs="MinionPro-Disp" w:hint="cs"/>
          <w:color w:val="000000"/>
          <w:sz w:val="20"/>
          <w:szCs w:val="20"/>
        </w:rPr>
        <w:t>’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s task is to help the client pers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onally work through the problem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and identify the need. Sometimes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clients or support people need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help identifying information relevant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to their situation before they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can see a need. For instance, clients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with heart disease may need to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 xml:space="preserve">know the effects of smoking before 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they recognize the need to stop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smoking. Adolescents may need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to know the consequences of an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untreated sexually transmitted infecti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on before they see the need for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treatment.</w:t>
      </w:r>
    </w:p>
    <w:p w:rsidR="00241D8A" w:rsidRDefault="008D38E9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21"/>
          <w:szCs w:val="21"/>
        </w:rPr>
      </w:pPr>
      <w:r>
        <w:rPr>
          <w:rFonts w:ascii="HelveticaNeueLTStd-Bd" w:hAnsi="HelveticaNeueLTStd-Bd" w:cs="HelveticaNeueLTStd-Bd"/>
          <w:color w:val="000000"/>
          <w:sz w:val="21"/>
          <w:szCs w:val="21"/>
        </w:rPr>
        <w:t>Readiness</w:t>
      </w:r>
    </w:p>
    <w:p w:rsidR="00241D8A" w:rsidRDefault="00241D8A" w:rsidP="00124260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Readiness </w:t>
      </w:r>
      <w:r>
        <w:rPr>
          <w:rFonts w:ascii="MinionPro-Disp" w:hAnsi="HelveticaNeueLTStd-Bd" w:cs="MinionPro-Disp"/>
          <w:color w:val="000000"/>
          <w:sz w:val="20"/>
          <w:szCs w:val="20"/>
        </w:rPr>
        <w:t>to learn is the</w:t>
      </w:r>
      <w:r>
        <w:rPr>
          <w:lang w:bidi="ar-IQ"/>
        </w:rPr>
        <w:t xml:space="preserve"> </w:t>
      </w:r>
      <w:r>
        <w:rPr>
          <w:rFonts w:ascii="MinionPro-Disp" w:cs="MinionPro-Disp"/>
          <w:sz w:val="20"/>
          <w:szCs w:val="20"/>
        </w:rPr>
        <w:t>demonstr</w:t>
      </w:r>
      <w:r w:rsidR="00124260">
        <w:rPr>
          <w:rFonts w:ascii="MinionPro-Disp" w:cs="MinionPro-Disp"/>
          <w:sz w:val="20"/>
          <w:szCs w:val="20"/>
        </w:rPr>
        <w:t xml:space="preserve">ation of behaviors or cues that </w:t>
      </w:r>
      <w:r>
        <w:rPr>
          <w:rFonts w:ascii="MinionPro-Disp" w:cs="MinionPro-Disp"/>
          <w:sz w:val="20"/>
          <w:szCs w:val="20"/>
        </w:rPr>
        <w:t>reflect the learner</w:t>
      </w:r>
      <w:r>
        <w:rPr>
          <w:rFonts w:ascii="MinionPro-Disp" w:cs="MinionPro-Disp" w:hint="cs"/>
          <w:sz w:val="20"/>
          <w:szCs w:val="20"/>
        </w:rPr>
        <w:t>’</w:t>
      </w:r>
      <w:r>
        <w:rPr>
          <w:rFonts w:ascii="MinionPro-Disp" w:cs="MinionPro-Disp"/>
          <w:sz w:val="20"/>
          <w:szCs w:val="20"/>
        </w:rPr>
        <w:t>s motivation to learn at a specific time. Readiness</w:t>
      </w:r>
    </w:p>
    <w:p w:rsidR="00931C6D" w:rsidRDefault="00241D8A" w:rsidP="00124260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cs="MinionPro-Disp"/>
          <w:sz w:val="20"/>
          <w:szCs w:val="20"/>
        </w:rPr>
      </w:pPr>
      <w:r>
        <w:rPr>
          <w:rFonts w:ascii="MinionPro-Disp" w:cs="MinionPro-Disp"/>
          <w:sz w:val="20"/>
          <w:szCs w:val="20"/>
        </w:rPr>
        <w:t>reflects not only the desire or willingness to learn but also the ability</w:t>
      </w:r>
      <w:r w:rsidR="00124260">
        <w:rPr>
          <w:rFonts w:ascii="MinionPro-Disp" w:cs="MinionPro-Disp"/>
          <w:sz w:val="20"/>
          <w:szCs w:val="20"/>
        </w:rPr>
        <w:t xml:space="preserve"> </w:t>
      </w:r>
      <w:r>
        <w:rPr>
          <w:rFonts w:ascii="MinionPro-Disp" w:cs="MinionPro-Disp"/>
          <w:sz w:val="20"/>
          <w:szCs w:val="20"/>
        </w:rPr>
        <w:t>to learn at a specific time. For example, a client may want to learn self</w:t>
      </w:r>
      <w:r w:rsidR="00124260">
        <w:rPr>
          <w:rFonts w:ascii="MinionPro-Disp" w:cs="MinionPro-Disp"/>
          <w:sz w:val="20"/>
          <w:szCs w:val="20"/>
        </w:rPr>
        <w:t xml:space="preserve">-care </w:t>
      </w:r>
      <w:r>
        <w:rPr>
          <w:rFonts w:ascii="MinionPro-Disp" w:cs="MinionPro-Disp"/>
          <w:sz w:val="20"/>
          <w:szCs w:val="20"/>
        </w:rPr>
        <w:t>during a dressing change, but if</w:t>
      </w:r>
      <w:r w:rsidR="00124260">
        <w:rPr>
          <w:rFonts w:ascii="MinionPro-Disp" w:cs="MinionPro-Disp"/>
          <w:sz w:val="20"/>
          <w:szCs w:val="20"/>
        </w:rPr>
        <w:t xml:space="preserve"> the client experiences pain or </w:t>
      </w:r>
      <w:r>
        <w:rPr>
          <w:rFonts w:ascii="MinionPro-Disp" w:cs="MinionPro-Disp"/>
          <w:sz w:val="20"/>
          <w:szCs w:val="20"/>
        </w:rPr>
        <w:t xml:space="preserve">discomfort he or she may not be able </w:t>
      </w:r>
      <w:r w:rsidR="00124260">
        <w:rPr>
          <w:rFonts w:ascii="MinionPro-Disp" w:cs="MinionPro-Disp"/>
          <w:sz w:val="20"/>
          <w:szCs w:val="20"/>
        </w:rPr>
        <w:t xml:space="preserve">to learn. The nurse can provide </w:t>
      </w:r>
      <w:r>
        <w:rPr>
          <w:rFonts w:ascii="MinionPro-Disp" w:cs="MinionPro-Disp"/>
          <w:sz w:val="20"/>
          <w:szCs w:val="20"/>
        </w:rPr>
        <w:t>pain medication to make the client</w:t>
      </w:r>
      <w:r w:rsidR="00124260">
        <w:rPr>
          <w:rFonts w:ascii="MinionPro-Disp" w:cs="MinionPro-Disp"/>
          <w:sz w:val="20"/>
          <w:szCs w:val="20"/>
        </w:rPr>
        <w:t xml:space="preserve"> more comfortable and more able </w:t>
      </w:r>
      <w:r>
        <w:rPr>
          <w:rFonts w:ascii="MinionPro-Disp" w:cs="MinionPro-Disp"/>
          <w:sz w:val="20"/>
          <w:szCs w:val="20"/>
        </w:rPr>
        <w:t>to learn. The nurse</w:t>
      </w:r>
      <w:r>
        <w:rPr>
          <w:rFonts w:ascii="MinionPro-Disp" w:cs="MinionPro-Disp" w:hint="cs"/>
          <w:sz w:val="20"/>
          <w:szCs w:val="20"/>
        </w:rPr>
        <w:t>’</w:t>
      </w:r>
      <w:r>
        <w:rPr>
          <w:rFonts w:ascii="MinionPro-Disp" w:cs="MinionPro-Disp"/>
          <w:sz w:val="20"/>
          <w:szCs w:val="20"/>
        </w:rPr>
        <w:t xml:space="preserve">s role is often </w:t>
      </w:r>
      <w:r w:rsidR="00124260">
        <w:rPr>
          <w:rFonts w:ascii="MinionPro-Disp" w:cs="MinionPro-Disp"/>
          <w:sz w:val="20"/>
          <w:szCs w:val="20"/>
        </w:rPr>
        <w:t xml:space="preserve">to encourage the development of </w:t>
      </w:r>
      <w:r>
        <w:rPr>
          <w:rFonts w:ascii="MinionPro-Disp" w:cs="MinionPro-Disp"/>
          <w:sz w:val="20"/>
          <w:szCs w:val="20"/>
        </w:rPr>
        <w:t>readiness.</w:t>
      </w:r>
      <w:r>
        <w:rPr>
          <w:rFonts w:ascii="MinionPro-Disp" w:cs="MinionPro-Disp"/>
          <w:sz w:val="20"/>
          <w:szCs w:val="20"/>
        </w:rPr>
        <w:t xml:space="preserve"> </w:t>
      </w:r>
    </w:p>
    <w:p w:rsidR="00241D8A" w:rsidRDefault="000409AF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color w:val="000000"/>
          <w:sz w:val="21"/>
          <w:szCs w:val="21"/>
        </w:rPr>
      </w:pPr>
      <w:r>
        <w:rPr>
          <w:rFonts w:ascii="HelveticaNeueLTStd-Bd" w:hAnsi="HelveticaNeueLTStd-Bd" w:cs="HelveticaNeueLTStd-Bd"/>
          <w:color w:val="000000"/>
          <w:sz w:val="21"/>
          <w:szCs w:val="21"/>
        </w:rPr>
        <w:t>Active involvement</w:t>
      </w:r>
    </w:p>
    <w:p w:rsidR="00946ABF" w:rsidRDefault="00241D8A" w:rsidP="00C05614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>When the learner is actively involved in th</w:t>
      </w:r>
      <w:r w:rsidR="00C05614">
        <w:rPr>
          <w:rFonts w:ascii="MinionPro-Disp" w:hAnsi="HelveticaNeueLTStd-Bd" w:cs="MinionPro-Disp"/>
          <w:color w:val="000000"/>
          <w:sz w:val="20"/>
          <w:szCs w:val="20"/>
        </w:rPr>
        <w:t xml:space="preserve">e process of learning, learning </w:t>
      </w:r>
      <w:r>
        <w:rPr>
          <w:rFonts w:ascii="MinionPro-Disp" w:hAnsi="HelveticaNeueLTStd-Bd" w:cs="MinionPro-Disp"/>
          <w:color w:val="000000"/>
          <w:sz w:val="20"/>
          <w:szCs w:val="20"/>
        </w:rPr>
        <w:t>becomes more meaningful. If the l</w:t>
      </w:r>
      <w:r w:rsidR="00C05614">
        <w:rPr>
          <w:rFonts w:ascii="MinionPro-Disp" w:hAnsi="HelveticaNeueLTStd-Bd" w:cs="MinionPro-Disp"/>
          <w:color w:val="000000"/>
          <w:sz w:val="20"/>
          <w:szCs w:val="20"/>
        </w:rPr>
        <w:t xml:space="preserve">earner actively participates in </w:t>
      </w:r>
      <w:r>
        <w:rPr>
          <w:rFonts w:ascii="MinionPro-Disp" w:hAnsi="HelveticaNeueLTStd-Bd" w:cs="MinionPro-Disp"/>
          <w:color w:val="000000"/>
          <w:sz w:val="20"/>
          <w:szCs w:val="20"/>
        </w:rPr>
        <w:t>planning and discussion, learning is</w:t>
      </w:r>
      <w:r w:rsidR="00C05614">
        <w:rPr>
          <w:rFonts w:ascii="MinionPro-Disp" w:hAnsi="HelveticaNeueLTStd-Bd" w:cs="MinionPro-Disp"/>
          <w:color w:val="000000"/>
          <w:sz w:val="20"/>
          <w:szCs w:val="20"/>
        </w:rPr>
        <w:t xml:space="preserve"> faster and retention is better. </w:t>
      </w:r>
      <w:r>
        <w:rPr>
          <w:rFonts w:ascii="MinionPro-Disp" w:hAnsi="HelveticaNeueLTStd-Bd" w:cs="MinionPro-Disp"/>
          <w:color w:val="000000"/>
          <w:sz w:val="20"/>
          <w:szCs w:val="20"/>
        </w:rPr>
        <w:t>Active learning promo</w:t>
      </w:r>
      <w:r w:rsidR="00C05614">
        <w:rPr>
          <w:rFonts w:ascii="MinionPro-Disp" w:hAnsi="HelveticaNeueLTStd-Bd" w:cs="MinionPro-Disp"/>
          <w:color w:val="000000"/>
          <w:sz w:val="20"/>
          <w:szCs w:val="20"/>
        </w:rPr>
        <w:t xml:space="preserve">tes critical thinking, enabling 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learners to problem solve more effectively. </w:t>
      </w:r>
    </w:p>
    <w:p w:rsidR="00241D8A" w:rsidRPr="00946ABF" w:rsidRDefault="00946ABF" w:rsidP="00946ABF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color w:val="000000"/>
          <w:sz w:val="20"/>
          <w:szCs w:val="20"/>
        </w:rPr>
      </w:pPr>
      <w:r>
        <w:rPr>
          <w:rFonts w:ascii="MinionPro-Disp" w:hAnsi="HelveticaNeueLTStd-Bd" w:cs="MinionPro-Disp"/>
          <w:color w:val="000000"/>
          <w:sz w:val="20"/>
          <w:szCs w:val="20"/>
        </w:rPr>
        <w:t xml:space="preserve">Clients who are actively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involved in learning about their health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care may be more able to apply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the learning to their own situation. For ex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ample, clients who are actively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involved in learning about their therapeutic diets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 may be more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 xml:space="preserve">able to apply the principles being taught to 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their cultural food preferences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and their usual eating habits. Pass</w:t>
      </w:r>
      <w:r>
        <w:rPr>
          <w:rFonts w:ascii="MinionPro-Disp" w:hAnsi="HelveticaNeueLTStd-Bd" w:cs="MinionPro-Disp"/>
          <w:color w:val="000000"/>
          <w:sz w:val="20"/>
          <w:szCs w:val="20"/>
        </w:rPr>
        <w:t xml:space="preserve">ive learning, such as listening </w:t>
      </w:r>
      <w:r w:rsidR="00241D8A">
        <w:rPr>
          <w:rFonts w:ascii="MinionPro-Disp" w:hAnsi="HelveticaNeueLTStd-Bd" w:cs="MinionPro-Disp"/>
          <w:color w:val="000000"/>
          <w:sz w:val="20"/>
          <w:szCs w:val="20"/>
        </w:rPr>
        <w:t>to a lecture or watching a film, does not foster optimal learning.</w:t>
      </w:r>
      <w:r w:rsidR="00CE13DC">
        <w:rPr>
          <w:lang w:bidi="ar-IQ"/>
        </w:rPr>
        <w:t xml:space="preserve"> </w:t>
      </w:r>
    </w:p>
    <w:p w:rsidR="00CE13DC" w:rsidRDefault="006B7B05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sz w:val="21"/>
          <w:szCs w:val="21"/>
        </w:rPr>
      </w:pPr>
      <w:r>
        <w:rPr>
          <w:rFonts w:ascii="HelveticaNeueLTStd-Bd" w:hAnsi="HelveticaNeueLTStd-Bd" w:cs="HelveticaNeueLTStd-Bd"/>
          <w:sz w:val="21"/>
          <w:szCs w:val="21"/>
        </w:rPr>
        <w:t>Relevance</w:t>
      </w:r>
    </w:p>
    <w:p w:rsidR="00CE13DC" w:rsidRDefault="00CE13DC" w:rsidP="00585F77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sz w:val="20"/>
          <w:szCs w:val="20"/>
        </w:rPr>
      </w:pPr>
      <w:r>
        <w:rPr>
          <w:rFonts w:ascii="MinionPro-Disp" w:hAnsi="HelveticaNeueLTStd-Bd" w:cs="MinionPro-Disp"/>
          <w:sz w:val="20"/>
          <w:szCs w:val="20"/>
        </w:rPr>
        <w:t>The knowledge or skill to be lear</w:t>
      </w:r>
      <w:r w:rsidR="00585F77">
        <w:rPr>
          <w:rFonts w:ascii="MinionPro-Disp" w:hAnsi="HelveticaNeueLTStd-Bd" w:cs="MinionPro-Disp"/>
          <w:sz w:val="20"/>
          <w:szCs w:val="20"/>
        </w:rPr>
        <w:t xml:space="preserve">ned must be personally relevant </w:t>
      </w:r>
      <w:r>
        <w:rPr>
          <w:rFonts w:ascii="MinionPro-Disp" w:hAnsi="HelveticaNeueLTStd-Bd" w:cs="MinionPro-Disp"/>
          <w:sz w:val="20"/>
          <w:szCs w:val="20"/>
        </w:rPr>
        <w:t>to the learner. Clients learn more easily if they can connect the new</w:t>
      </w:r>
    </w:p>
    <w:p w:rsidR="00CE13DC" w:rsidRDefault="00CE13DC" w:rsidP="00585F77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/>
          <w:sz w:val="20"/>
          <w:szCs w:val="20"/>
        </w:rPr>
      </w:pPr>
      <w:r>
        <w:rPr>
          <w:rFonts w:ascii="MinionPro-Disp" w:hAnsi="HelveticaNeueLTStd-Bd" w:cs="MinionPro-Disp"/>
          <w:sz w:val="20"/>
          <w:szCs w:val="20"/>
        </w:rPr>
        <w:t>knowledge to that which they alread</w:t>
      </w:r>
      <w:r w:rsidR="00585F77">
        <w:rPr>
          <w:rFonts w:ascii="MinionPro-Disp" w:hAnsi="HelveticaNeueLTStd-Bd" w:cs="MinionPro-Disp"/>
          <w:sz w:val="20"/>
          <w:szCs w:val="20"/>
        </w:rPr>
        <w:t xml:space="preserve">y know or have experienced. For </w:t>
      </w:r>
      <w:r>
        <w:rPr>
          <w:rFonts w:ascii="MinionPro-Disp" w:hAnsi="HelveticaNeueLTStd-Bd" w:cs="MinionPro-Disp"/>
          <w:sz w:val="20"/>
          <w:szCs w:val="20"/>
        </w:rPr>
        <w:t>example, if a client is diagnosed with h</w:t>
      </w:r>
      <w:r w:rsidR="00585F77">
        <w:rPr>
          <w:rFonts w:ascii="MinionPro-Disp" w:hAnsi="HelveticaNeueLTStd-Bd" w:cs="MinionPro-Disp"/>
          <w:sz w:val="20"/>
          <w:szCs w:val="20"/>
        </w:rPr>
        <w:t xml:space="preserve">ypertension, is overweight, and </w:t>
      </w:r>
      <w:r>
        <w:rPr>
          <w:rFonts w:ascii="MinionPro-Disp" w:hAnsi="HelveticaNeueLTStd-Bd" w:cs="MinionPro-Disp"/>
          <w:sz w:val="20"/>
          <w:szCs w:val="20"/>
        </w:rPr>
        <w:t xml:space="preserve">has symptoms of headaches and fatigue, </w:t>
      </w:r>
      <w:r w:rsidR="00585F77">
        <w:rPr>
          <w:rFonts w:ascii="MinionPro-Disp" w:hAnsi="HelveticaNeueLTStd-Bd" w:cs="MinionPro-Disp"/>
          <w:sz w:val="20"/>
          <w:szCs w:val="20"/>
        </w:rPr>
        <w:t xml:space="preserve">he is more likely to understand </w:t>
      </w:r>
      <w:r>
        <w:rPr>
          <w:rFonts w:ascii="MinionPro-Disp" w:hAnsi="HelveticaNeueLTStd-Bd" w:cs="MinionPro-Disp"/>
          <w:sz w:val="20"/>
          <w:szCs w:val="20"/>
        </w:rPr>
        <w:t xml:space="preserve">the need to lose weight if </w:t>
      </w:r>
      <w:r w:rsidR="00585F77">
        <w:rPr>
          <w:rFonts w:ascii="MinionPro-Disp" w:hAnsi="HelveticaNeueLTStd-Bd" w:cs="MinionPro-Disp"/>
          <w:sz w:val="20"/>
          <w:szCs w:val="20"/>
        </w:rPr>
        <w:t xml:space="preserve">he remembers having more energy </w:t>
      </w:r>
      <w:r>
        <w:rPr>
          <w:rFonts w:ascii="MinionPro-Disp" w:hAnsi="HelveticaNeueLTStd-Bd" w:cs="MinionPro-Disp"/>
          <w:sz w:val="20"/>
          <w:szCs w:val="20"/>
        </w:rPr>
        <w:t>when he weighed less. The nurse nee</w:t>
      </w:r>
      <w:r w:rsidR="00585F77">
        <w:rPr>
          <w:rFonts w:ascii="MinionPro-Disp" w:hAnsi="HelveticaNeueLTStd-Bd" w:cs="MinionPro-Disp"/>
          <w:sz w:val="20"/>
          <w:szCs w:val="20"/>
        </w:rPr>
        <w:t xml:space="preserve">ds to validate the relevance of </w:t>
      </w:r>
      <w:r>
        <w:rPr>
          <w:rFonts w:ascii="MinionPro-Disp" w:hAnsi="HelveticaNeueLTStd-Bd" w:cs="MinionPro-Disp"/>
          <w:sz w:val="20"/>
          <w:szCs w:val="20"/>
        </w:rPr>
        <w:t>learning with the client throughout the learning process.</w:t>
      </w:r>
    </w:p>
    <w:p w:rsidR="00CE13DC" w:rsidRDefault="00CE13DC" w:rsidP="008855C1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HelveticaNeueLTStd-Bd" w:hAnsi="HelveticaNeueLTStd-Bd" w:cs="HelveticaNeueLTStd-Bd"/>
          <w:sz w:val="21"/>
          <w:szCs w:val="21"/>
        </w:rPr>
      </w:pPr>
      <w:r>
        <w:rPr>
          <w:rFonts w:ascii="HelveticaNeueLTStd-Bd" w:hAnsi="HelveticaNeueLTStd-Bd" w:cs="HelveticaNeueLTStd-Bd"/>
          <w:sz w:val="21"/>
          <w:szCs w:val="21"/>
        </w:rPr>
        <w:t>F</w:t>
      </w:r>
      <w:r w:rsidR="00585F77">
        <w:rPr>
          <w:rFonts w:ascii="HelveticaNeueLTStd-Bd" w:hAnsi="HelveticaNeueLTStd-Bd" w:cs="HelveticaNeueLTStd-Bd"/>
          <w:sz w:val="21"/>
          <w:szCs w:val="21"/>
        </w:rPr>
        <w:t>eedback</w:t>
      </w:r>
    </w:p>
    <w:p w:rsidR="00CE13DC" w:rsidRPr="00E603D7" w:rsidRDefault="00CE13DC" w:rsidP="00E603D7">
      <w:pPr>
        <w:autoSpaceDE w:val="0"/>
        <w:autoSpaceDN w:val="0"/>
        <w:bidi w:val="0"/>
        <w:adjustRightInd w:val="0"/>
        <w:spacing w:after="0" w:line="240" w:lineRule="auto"/>
        <w:ind w:left="-1418" w:right="-1192"/>
        <w:jc w:val="lowKashida"/>
        <w:rPr>
          <w:rFonts w:ascii="MinionPro-Disp" w:hAnsi="HelveticaNeueLTStd-Bd" w:cs="MinionPro-Disp" w:hint="cs"/>
          <w:sz w:val="20"/>
          <w:szCs w:val="20"/>
        </w:rPr>
      </w:pPr>
      <w:r>
        <w:rPr>
          <w:rFonts w:ascii="MinionPro-ItDisp" w:hAnsi="MinionPro-ItDisp" w:cs="MinionPro-ItDisp"/>
          <w:i/>
          <w:iCs/>
          <w:sz w:val="20"/>
          <w:szCs w:val="20"/>
        </w:rPr>
        <w:t xml:space="preserve">Feedback </w:t>
      </w:r>
      <w:r>
        <w:rPr>
          <w:rFonts w:ascii="MinionPro-Disp" w:hAnsi="HelveticaNeueLTStd-Bd" w:cs="MinionPro-Disp"/>
          <w:sz w:val="20"/>
          <w:szCs w:val="20"/>
        </w:rPr>
        <w:t>is information regarding a person</w:t>
      </w:r>
      <w:r>
        <w:rPr>
          <w:rFonts w:ascii="MinionPro-Disp" w:hAnsi="HelveticaNeueLTStd-Bd" w:cs="MinionPro-Disp" w:hint="cs"/>
          <w:sz w:val="20"/>
          <w:szCs w:val="20"/>
        </w:rPr>
        <w:t>’</w:t>
      </w:r>
      <w:r w:rsidR="00E603D7">
        <w:rPr>
          <w:rFonts w:ascii="MinionPro-Disp" w:hAnsi="HelveticaNeueLTStd-Bd" w:cs="MinionPro-Disp"/>
          <w:sz w:val="20"/>
          <w:szCs w:val="20"/>
        </w:rPr>
        <w:t xml:space="preserve">s performance in reaching </w:t>
      </w:r>
      <w:r>
        <w:rPr>
          <w:rFonts w:ascii="MinionPro-Disp" w:hAnsi="HelveticaNeueLTStd-Bd" w:cs="MinionPro-Disp"/>
          <w:sz w:val="20"/>
          <w:szCs w:val="20"/>
        </w:rPr>
        <w:t>a desired goal. It has to be meaningfu</w:t>
      </w:r>
      <w:r w:rsidR="00E603D7">
        <w:rPr>
          <w:rFonts w:ascii="MinionPro-Disp" w:hAnsi="HelveticaNeueLTStd-Bd" w:cs="MinionPro-Disp"/>
          <w:sz w:val="20"/>
          <w:szCs w:val="20"/>
        </w:rPr>
        <w:t xml:space="preserve">l to the learner. Feedback that </w:t>
      </w:r>
      <w:r>
        <w:rPr>
          <w:rFonts w:ascii="MinionPro-Disp" w:hAnsi="HelveticaNeueLTStd-Bd" w:cs="MinionPro-Disp"/>
          <w:sz w:val="20"/>
          <w:szCs w:val="20"/>
        </w:rPr>
        <w:t>accompanies the practice of psychom</w:t>
      </w:r>
      <w:r w:rsidR="00E603D7">
        <w:rPr>
          <w:rFonts w:ascii="MinionPro-Disp" w:hAnsi="HelveticaNeueLTStd-Bd" w:cs="MinionPro-Disp"/>
          <w:sz w:val="20"/>
          <w:szCs w:val="20"/>
        </w:rPr>
        <w:t xml:space="preserve">otor skills helps the person to </w:t>
      </w:r>
      <w:r>
        <w:rPr>
          <w:rFonts w:ascii="MinionPro-Disp" w:hAnsi="HelveticaNeueLTStd-Bd" w:cs="MinionPro-Disp"/>
          <w:sz w:val="20"/>
          <w:szCs w:val="20"/>
        </w:rPr>
        <w:t>learn those skills. Support of desired beha</w:t>
      </w:r>
      <w:r w:rsidR="00E603D7">
        <w:rPr>
          <w:rFonts w:ascii="MinionPro-Disp" w:hAnsi="HelveticaNeueLTStd-Bd" w:cs="MinionPro-Disp"/>
          <w:sz w:val="20"/>
          <w:szCs w:val="20"/>
        </w:rPr>
        <w:t xml:space="preserve">vior through praise, positively </w:t>
      </w:r>
      <w:r>
        <w:rPr>
          <w:rFonts w:ascii="MinionPro-Disp" w:hAnsi="HelveticaNeueLTStd-Bd" w:cs="MinionPro-Disp"/>
          <w:sz w:val="20"/>
          <w:szCs w:val="20"/>
        </w:rPr>
        <w:t>worded corrections, and suggest</w:t>
      </w:r>
      <w:r w:rsidR="00E603D7">
        <w:rPr>
          <w:rFonts w:ascii="MinionPro-Disp" w:hAnsi="HelveticaNeueLTStd-Bd" w:cs="MinionPro-Disp"/>
          <w:sz w:val="20"/>
          <w:szCs w:val="20"/>
        </w:rPr>
        <w:t xml:space="preserve">ions of alternative methods are </w:t>
      </w:r>
      <w:r>
        <w:rPr>
          <w:rFonts w:ascii="MinionPro-Disp" w:hAnsi="HelveticaNeueLTStd-Bd" w:cs="MinionPro-Disp"/>
          <w:sz w:val="20"/>
          <w:szCs w:val="20"/>
        </w:rPr>
        <w:t>ways of providing positive feedback. Nega</w:t>
      </w:r>
      <w:r w:rsidR="00E603D7">
        <w:rPr>
          <w:rFonts w:ascii="MinionPro-Disp" w:hAnsi="HelveticaNeueLTStd-Bd" w:cs="MinionPro-Disp"/>
          <w:sz w:val="20"/>
          <w:szCs w:val="20"/>
        </w:rPr>
        <w:t xml:space="preserve">tive feedback such as ridicule, </w:t>
      </w:r>
      <w:r>
        <w:rPr>
          <w:rFonts w:ascii="MinionPro-Disp" w:hAnsi="HelveticaNeueLTStd-Bd" w:cs="MinionPro-Disp"/>
          <w:sz w:val="20"/>
          <w:szCs w:val="20"/>
        </w:rPr>
        <w:t>anger, or sarcasm can lead pe</w:t>
      </w:r>
      <w:r w:rsidR="00E603D7">
        <w:rPr>
          <w:rFonts w:ascii="MinionPro-Disp" w:hAnsi="HelveticaNeueLTStd-Bd" w:cs="MinionPro-Disp"/>
          <w:sz w:val="20"/>
          <w:szCs w:val="20"/>
        </w:rPr>
        <w:t xml:space="preserve">ople to withdraw from learning. </w:t>
      </w:r>
      <w:r>
        <w:rPr>
          <w:rFonts w:ascii="MinionPro-Disp" w:hAnsi="HelveticaNeueLTStd-Bd" w:cs="MinionPro-Disp"/>
          <w:sz w:val="20"/>
          <w:szCs w:val="20"/>
        </w:rPr>
        <w:t>Such feedback, viewed as a type of p</w:t>
      </w:r>
      <w:r w:rsidR="00E603D7">
        <w:rPr>
          <w:rFonts w:ascii="MinionPro-Disp" w:hAnsi="HelveticaNeueLTStd-Bd" w:cs="MinionPro-Disp"/>
          <w:sz w:val="20"/>
          <w:szCs w:val="20"/>
        </w:rPr>
        <w:t xml:space="preserve">unishment, may cause the client </w:t>
      </w:r>
      <w:r>
        <w:rPr>
          <w:rFonts w:ascii="MinionPro-Disp" w:hAnsi="HelveticaNeueLTStd-Bd" w:cs="MinionPro-Disp"/>
          <w:sz w:val="20"/>
          <w:szCs w:val="20"/>
        </w:rPr>
        <w:t>to avoid the teacher in order to avoid punishment</w:t>
      </w:r>
      <w:r>
        <w:rPr>
          <w:lang w:bidi="ar-IQ"/>
        </w:rPr>
        <w:t xml:space="preserve">. </w:t>
      </w:r>
    </w:p>
    <w:sectPr w:rsidR="00CE13DC" w:rsidRPr="00E603D7" w:rsidSect="003141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Disp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51417"/>
    <w:multiLevelType w:val="hybridMultilevel"/>
    <w:tmpl w:val="89F64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7AE6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D"/>
    <w:rsid w:val="00013CA7"/>
    <w:rsid w:val="000409AF"/>
    <w:rsid w:val="0005109A"/>
    <w:rsid w:val="00091435"/>
    <w:rsid w:val="000C0AA2"/>
    <w:rsid w:val="000D0182"/>
    <w:rsid w:val="000F761D"/>
    <w:rsid w:val="00112711"/>
    <w:rsid w:val="00124260"/>
    <w:rsid w:val="001567CD"/>
    <w:rsid w:val="00184BED"/>
    <w:rsid w:val="001C7971"/>
    <w:rsid w:val="00241D8A"/>
    <w:rsid w:val="0026617A"/>
    <w:rsid w:val="0031415E"/>
    <w:rsid w:val="004E208F"/>
    <w:rsid w:val="00585F77"/>
    <w:rsid w:val="005C3F6F"/>
    <w:rsid w:val="00686FDB"/>
    <w:rsid w:val="00695F95"/>
    <w:rsid w:val="006B7B05"/>
    <w:rsid w:val="00762C5F"/>
    <w:rsid w:val="00822FEA"/>
    <w:rsid w:val="00842C22"/>
    <w:rsid w:val="008855C1"/>
    <w:rsid w:val="00890720"/>
    <w:rsid w:val="008D38E9"/>
    <w:rsid w:val="008F579D"/>
    <w:rsid w:val="00931C6D"/>
    <w:rsid w:val="00946ABF"/>
    <w:rsid w:val="009570B8"/>
    <w:rsid w:val="009B4703"/>
    <w:rsid w:val="00AC6EDB"/>
    <w:rsid w:val="00AD14FE"/>
    <w:rsid w:val="00BA1BAB"/>
    <w:rsid w:val="00C05614"/>
    <w:rsid w:val="00CC4354"/>
    <w:rsid w:val="00CE13DC"/>
    <w:rsid w:val="00E04247"/>
    <w:rsid w:val="00E359D3"/>
    <w:rsid w:val="00E603D7"/>
    <w:rsid w:val="00EC5A4C"/>
    <w:rsid w:val="00F6179D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2018-12-29T10:22:00Z</dcterms:created>
  <dcterms:modified xsi:type="dcterms:W3CDTF">2018-12-29T11:53:00Z</dcterms:modified>
</cp:coreProperties>
</file>