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05" w:type="pct"/>
        <w:tblCellSpacing w:w="0" w:type="dxa"/>
        <w:tblCellMar>
          <w:left w:w="0" w:type="dxa"/>
          <w:right w:w="0" w:type="dxa"/>
        </w:tblCellMar>
        <w:tblLook w:val="04A0"/>
      </w:tblPr>
      <w:tblGrid>
        <w:gridCol w:w="8647"/>
      </w:tblGrid>
      <w:tr w:rsidR="00F753B9" w:rsidRPr="003B1D84" w:rsidTr="003B1D84">
        <w:trPr>
          <w:tblCellSpacing w:w="0" w:type="dxa"/>
        </w:trPr>
        <w:tc>
          <w:tcPr>
            <w:tcW w:w="5000" w:type="pct"/>
            <w:shd w:val="clear" w:color="auto" w:fill="FFFFFF"/>
            <w:vAlign w:val="center"/>
            <w:hideMark/>
          </w:tcPr>
          <w:p w:rsidR="0084463F" w:rsidRPr="003B1D84" w:rsidRDefault="0084463F" w:rsidP="003B1D84">
            <w:pPr>
              <w:bidi w:val="0"/>
              <w:spacing w:after="0" w:line="240" w:lineRule="auto"/>
              <w:jc w:val="center"/>
              <w:rPr>
                <w:rFonts w:eastAsia="Times New Roman" w:cs="Times New Roman"/>
                <w:b/>
                <w:bCs/>
                <w:sz w:val="28"/>
                <w:szCs w:val="28"/>
                <w:lang w:bidi="ar-IQ"/>
              </w:rPr>
            </w:pPr>
            <w:bookmarkStart w:id="0" w:name="HC024006"/>
            <w:bookmarkEnd w:id="0"/>
            <w:r w:rsidRPr="003B1D84">
              <w:rPr>
                <w:rFonts w:eastAsia="Times New Roman" w:cs="Times New Roman"/>
                <w:b/>
                <w:bCs/>
                <w:sz w:val="28"/>
                <w:szCs w:val="28"/>
              </w:rPr>
              <w:t xml:space="preserve">Lec-1                       </w:t>
            </w:r>
            <w:r w:rsidR="003B1D84">
              <w:rPr>
                <w:rFonts w:eastAsia="Times New Roman" w:cs="Times New Roman"/>
                <w:b/>
                <w:bCs/>
                <w:sz w:val="28"/>
                <w:szCs w:val="28"/>
              </w:rPr>
              <w:t xml:space="preserve">                        </w:t>
            </w:r>
            <w:r w:rsidRPr="003B1D84">
              <w:rPr>
                <w:rFonts w:eastAsia="Times New Roman" w:cs="Times New Roman"/>
                <w:b/>
                <w:bCs/>
                <w:sz w:val="28"/>
                <w:szCs w:val="28"/>
              </w:rPr>
              <w:t xml:space="preserve">    Hematology </w:t>
            </w:r>
            <w:r w:rsidR="003B1D84">
              <w:rPr>
                <w:rFonts w:eastAsia="Times New Roman" w:cs="Times New Roman"/>
                <w:b/>
                <w:bCs/>
                <w:sz w:val="28"/>
                <w:szCs w:val="28"/>
              </w:rPr>
              <w:t xml:space="preserve">    </w:t>
            </w:r>
            <w:r w:rsidRPr="003B1D84">
              <w:rPr>
                <w:rFonts w:eastAsia="Times New Roman" w:cs="Times New Roman"/>
                <w:b/>
                <w:bCs/>
                <w:sz w:val="28"/>
                <w:szCs w:val="28"/>
              </w:rPr>
              <w:t xml:space="preserve">                     </w:t>
            </w:r>
            <w:r w:rsidRPr="003B1D84">
              <w:rPr>
                <w:rFonts w:eastAsia="Times New Roman" w:cs="Times New Roman" w:hint="cs"/>
                <w:b/>
                <w:bCs/>
                <w:sz w:val="28"/>
                <w:szCs w:val="28"/>
                <w:rtl/>
                <w:lang w:bidi="ar-IQ"/>
              </w:rPr>
              <w:t xml:space="preserve">د.حسن سالم </w:t>
            </w:r>
          </w:p>
          <w:p w:rsidR="0084463F" w:rsidRPr="003B1D84" w:rsidRDefault="0084463F" w:rsidP="0084463F">
            <w:pPr>
              <w:bidi w:val="0"/>
              <w:spacing w:after="0" w:line="240" w:lineRule="auto"/>
              <w:rPr>
                <w:rFonts w:eastAsia="Times New Roman" w:cs="Times New Roman"/>
                <w:b/>
                <w:bCs/>
                <w:sz w:val="28"/>
                <w:szCs w:val="28"/>
                <w:u w:val="single"/>
                <w:rtl/>
                <w:lang w:bidi="ar-IQ"/>
              </w:rPr>
            </w:pPr>
            <w:r w:rsidRPr="003B1D84">
              <w:rPr>
                <w:rFonts w:eastAsia="Times New Roman" w:cs="Times New Roman"/>
                <w:b/>
                <w:bCs/>
                <w:sz w:val="28"/>
                <w:szCs w:val="28"/>
                <w:u w:val="single"/>
              </w:rPr>
              <w:t>Introduction</w:t>
            </w:r>
          </w:p>
          <w:p w:rsidR="00F753B9" w:rsidRPr="003B1D84" w:rsidRDefault="00F753B9" w:rsidP="00F753B9">
            <w:pPr>
              <w:bidi w:val="0"/>
              <w:spacing w:after="0" w:line="240" w:lineRule="auto"/>
              <w:rPr>
                <w:rFonts w:eastAsia="Times New Roman" w:cs="Times New Roman"/>
                <w:b/>
                <w:bCs/>
                <w:sz w:val="24"/>
                <w:szCs w:val="24"/>
                <w:u w:val="single"/>
              </w:rPr>
            </w:pPr>
            <w:r w:rsidRPr="003B1D84">
              <w:rPr>
                <w:rFonts w:eastAsia="Times New Roman" w:cs="Times New Roman"/>
                <w:b/>
                <w:bCs/>
                <w:sz w:val="28"/>
                <w:szCs w:val="28"/>
                <w:u w:val="single"/>
              </w:rPr>
              <w:t>Haematopoiesis</w:t>
            </w:r>
            <w:r w:rsidRPr="003B1D84">
              <w:rPr>
                <w:rFonts w:eastAsia="Times New Roman" w:cs="Times New Roman"/>
                <w:b/>
                <w:bCs/>
                <w:sz w:val="24"/>
                <w:szCs w:val="24"/>
                <w:u w:val="single"/>
              </w:rPr>
              <w:t xml:space="preserve">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trPr>
          <w:tblCellSpacing w:w="0" w:type="dxa"/>
        </w:trPr>
        <w:tc>
          <w:tcPr>
            <w:tcW w:w="5000" w:type="pct"/>
            <w:shd w:val="clear" w:color="auto" w:fill="FFFFFF"/>
            <w:vAlign w:val="center"/>
            <w:hideMark/>
          </w:tcPr>
          <w:p w:rsidR="00F753B9" w:rsidRPr="003B1D84" w:rsidRDefault="00F753B9" w:rsidP="00480649">
            <w:pPr>
              <w:bidi w:val="0"/>
              <w:spacing w:after="0" w:line="240" w:lineRule="auto"/>
              <w:rPr>
                <w:rFonts w:eastAsia="Times New Roman" w:cs="Times New Roman"/>
                <w:sz w:val="24"/>
                <w:szCs w:val="24"/>
              </w:rPr>
            </w:pPr>
            <w:bookmarkStart w:id="1" w:name="P024013"/>
            <w:bookmarkEnd w:id="1"/>
            <w:r w:rsidRPr="003B1D84">
              <w:rPr>
                <w:rFonts w:eastAsia="Times New Roman" w:cs="Times New Roman"/>
                <w:sz w:val="24"/>
                <w:szCs w:val="24"/>
              </w:rPr>
              <w:t xml:space="preserve">Haematopoiesis describes the formation of blood cells, an active process that must maintain normal numbers of circulating cells and be able to respond rapidly to increased demands such as bleeding or infection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rPr>
            </w:pPr>
            <w:bookmarkStart w:id="2" w:name="P024014"/>
            <w:bookmarkEnd w:id="2"/>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b/>
                <w:bCs/>
                <w:sz w:val="24"/>
                <w:szCs w:val="24"/>
                <w:u w:val="single"/>
              </w:rPr>
            </w:pPr>
            <w:bookmarkStart w:id="3" w:name="HC024007"/>
            <w:bookmarkEnd w:id="3"/>
            <w:r w:rsidRPr="003B1D84">
              <w:rPr>
                <w:rFonts w:eastAsia="Times New Roman" w:cs="Times New Roman"/>
                <w:b/>
                <w:bCs/>
                <w:sz w:val="24"/>
                <w:szCs w:val="24"/>
                <w:u w:val="single"/>
              </w:rPr>
              <w:t xml:space="preserve">Stem cells </w:t>
            </w:r>
          </w:p>
        </w:tc>
      </w:tr>
    </w:tbl>
    <w:p w:rsidR="00F753B9" w:rsidRPr="003B1D84" w:rsidRDefault="00F753B9" w:rsidP="00F753B9">
      <w:pPr>
        <w:bidi w:val="0"/>
        <w:spacing w:after="0" w:line="240" w:lineRule="auto"/>
        <w:rPr>
          <w:rFonts w:eastAsia="Times New Roman" w:cs="Times New Roman"/>
          <w:vanish/>
          <w:sz w:val="24"/>
          <w:szCs w:val="24"/>
        </w:rPr>
      </w:pPr>
    </w:p>
    <w:tbl>
      <w:tblPr>
        <w:tblW w:w="5135" w:type="pct"/>
        <w:tblCellSpacing w:w="0" w:type="dxa"/>
        <w:tblInd w:w="-26" w:type="dxa"/>
        <w:tblCellMar>
          <w:left w:w="0" w:type="dxa"/>
          <w:right w:w="0" w:type="dxa"/>
        </w:tblCellMar>
        <w:tblLook w:val="04A0"/>
      </w:tblPr>
      <w:tblGrid>
        <w:gridCol w:w="11"/>
        <w:gridCol w:w="1243"/>
        <w:gridCol w:w="7276"/>
      </w:tblGrid>
      <w:tr w:rsidR="00F753B9" w:rsidRPr="003B1D84" w:rsidTr="00EC3A75">
        <w:trPr>
          <w:gridBefore w:val="1"/>
          <w:wBefore w:w="7" w:type="pct"/>
          <w:tblCellSpacing w:w="0" w:type="dxa"/>
        </w:trPr>
        <w:tc>
          <w:tcPr>
            <w:tcW w:w="4993" w:type="pct"/>
            <w:gridSpan w:val="2"/>
            <w:shd w:val="clear" w:color="auto" w:fill="FFFFFF"/>
            <w:vAlign w:val="center"/>
            <w:hideMark/>
          </w:tcPr>
          <w:p w:rsidR="00F753B9" w:rsidRPr="003B1D84" w:rsidRDefault="00F753B9" w:rsidP="00EC3A75">
            <w:pPr>
              <w:bidi w:val="0"/>
              <w:spacing w:after="0" w:line="240" w:lineRule="auto"/>
              <w:rPr>
                <w:rFonts w:eastAsia="Times New Roman" w:cs="Times New Roman"/>
                <w:vanish/>
                <w:sz w:val="24"/>
                <w:szCs w:val="24"/>
              </w:rPr>
            </w:pPr>
            <w:bookmarkStart w:id="4" w:name="P024015"/>
            <w:bookmarkEnd w:id="4"/>
            <w:r w:rsidRPr="003B1D84">
              <w:rPr>
                <w:rFonts w:eastAsia="Times New Roman" w:cs="Times New Roman"/>
                <w:sz w:val="24"/>
                <w:szCs w:val="24"/>
              </w:rPr>
              <w:t>All blood cells are derived from pluripotent stem cells. These comprise only 0.01% of the total marrow cells, but they can self-renew (i.e. make more stem cells) or differentiate to produce lineage-committed stem cells. The resulting primitive progenitor cells cannot be identified morphologically, so they are named according to the types of cell or colony</w:t>
            </w:r>
            <w:r w:rsidR="00DF227A" w:rsidRPr="003B1D84">
              <w:rPr>
                <w:rFonts w:eastAsia="Times New Roman" w:cs="Times New Roman"/>
                <w:sz w:val="24"/>
                <w:szCs w:val="24"/>
              </w:rPr>
              <w:t>.</w:t>
            </w:r>
            <w:r w:rsidRPr="003B1D84">
              <w:rPr>
                <w:rFonts w:eastAsia="Times New Roman" w:cs="Times New Roman"/>
                <w:sz w:val="24"/>
                <w:szCs w:val="24"/>
              </w:rPr>
              <w:t xml:space="preserve">CFU-GM (colony-forming unit-granulocyte, monocyte) is a stem cell that produces granulocytic and monocytic lines, CFU-E produces erythroid cells, and CFU-Meg produces megakaryocytes </w:t>
            </w: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rPr>
                  </w:pPr>
                  <w:bookmarkStart w:id="5" w:name="P024019"/>
                  <w:bookmarkEnd w:id="5"/>
                  <w:r w:rsidRPr="003B1D84">
                    <w:rPr>
                      <w:rFonts w:eastAsia="Times New Roman" w:cs="Times New Roman"/>
                      <w:sz w:val="24"/>
                      <w:szCs w:val="24"/>
                    </w:rPr>
                    <w:t xml:space="preserve">Recent evidence suggests that the bone marrow contains stem cells which can differentiate into non-haematological cells, such as nerve, skeletal muscle, cardiac muscle, liver and blood vessel endothelium. This is termed stem-cell plasticity </w:t>
                  </w:r>
                </w:p>
                <w:p w:rsidR="006A3A9B" w:rsidRPr="003B1D84" w:rsidRDefault="006A3A9B" w:rsidP="006A3A9B">
                  <w:pPr>
                    <w:bidi w:val="0"/>
                    <w:spacing w:after="0" w:line="240" w:lineRule="auto"/>
                    <w:rPr>
                      <w:rFonts w:eastAsia="Times New Roman" w:cs="Times New Roman"/>
                      <w:sz w:val="24"/>
                      <w:szCs w:val="24"/>
                    </w:rPr>
                  </w:pPr>
                  <w:r w:rsidRPr="003B1D84">
                    <w:rPr>
                      <w:rFonts w:eastAsia="Times New Roman" w:cs="Times New Roman"/>
                      <w:noProof/>
                      <w:sz w:val="24"/>
                      <w:szCs w:val="24"/>
                    </w:rPr>
                    <w:drawing>
                      <wp:inline distT="0" distB="0" distL="0" distR="0">
                        <wp:extent cx="5238750" cy="2438400"/>
                        <wp:effectExtent l="19050" t="0" r="0" b="0"/>
                        <wp:docPr id="19" name="صورة 19" descr="C:\Users\jannat\Desktop\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annat\Desktop\11.jpg"/>
                                <pic:cNvPicPr>
                                  <a:picLocks noChangeAspect="1" noChangeArrowheads="1"/>
                                </pic:cNvPicPr>
                              </pic:nvPicPr>
                              <pic:blipFill>
                                <a:blip r:embed="rId7"/>
                                <a:srcRect/>
                                <a:stretch>
                                  <a:fillRect/>
                                </a:stretch>
                              </pic:blipFill>
                              <pic:spPr bwMode="auto">
                                <a:xfrm>
                                  <a:off x="0" y="0"/>
                                  <a:ext cx="5238750" cy="2438400"/>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b/>
                            <w:bCs/>
                            <w:i/>
                            <w:iCs/>
                            <w:sz w:val="24"/>
                            <w:szCs w:val="24"/>
                            <w:u w:val="single"/>
                          </w:rPr>
                        </w:pPr>
                        <w:bookmarkStart w:id="6" w:name="HC024008"/>
                        <w:bookmarkEnd w:id="6"/>
                        <w:r w:rsidRPr="003B1D84">
                          <w:rPr>
                            <w:rFonts w:eastAsia="Times New Roman" w:cs="Times New Roman"/>
                            <w:b/>
                            <w:bCs/>
                            <w:i/>
                            <w:iCs/>
                            <w:sz w:val="24"/>
                            <w:szCs w:val="24"/>
                            <w:u w:val="single"/>
                          </w:rPr>
                          <w:t xml:space="preserve">Blood cells and their functions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b/>
                            <w:bCs/>
                            <w:sz w:val="24"/>
                            <w:szCs w:val="24"/>
                          </w:rPr>
                        </w:pPr>
                        <w:bookmarkStart w:id="7" w:name="HC024009"/>
                        <w:bookmarkEnd w:id="7"/>
                        <w:r w:rsidRPr="003B1D84">
                          <w:rPr>
                            <w:rFonts w:eastAsia="Times New Roman" w:cs="Times New Roman"/>
                            <w:b/>
                            <w:bCs/>
                            <w:sz w:val="24"/>
                            <w:szCs w:val="24"/>
                          </w:rPr>
                          <w:t xml:space="preserve">Red cells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C22237">
                        <w:pPr>
                          <w:bidi w:val="0"/>
                          <w:spacing w:after="0" w:line="240" w:lineRule="auto"/>
                          <w:rPr>
                            <w:rFonts w:eastAsia="Times New Roman" w:cs="Times New Roman"/>
                            <w:sz w:val="24"/>
                            <w:szCs w:val="24"/>
                          </w:rPr>
                        </w:pPr>
                        <w:bookmarkStart w:id="8" w:name="P024021"/>
                        <w:bookmarkEnd w:id="8"/>
                        <w:r w:rsidRPr="003B1D84">
                          <w:rPr>
                            <w:rFonts w:eastAsia="Times New Roman" w:cs="Times New Roman"/>
                            <w:sz w:val="24"/>
                            <w:szCs w:val="24"/>
                          </w:rPr>
                          <w:t xml:space="preserve">Red cell precursors formed in the bone marrow from the erythroid (CFU-E) progenitor cells are called erythroblasts or normoblasts. </w:t>
                        </w:r>
                      </w:p>
                    </w:tc>
                  </w:tr>
                </w:tbl>
                <w:p w:rsidR="00F753B9" w:rsidRPr="003B1D84" w:rsidRDefault="00F753B9" w:rsidP="00A97C1F">
                  <w:pPr>
                    <w:bidi w:val="0"/>
                    <w:spacing w:after="0" w:line="240" w:lineRule="auto"/>
                    <w:rPr>
                      <w:rFonts w:eastAsia="Times New Roman" w:cs="Times New Roman"/>
                      <w:sz w:val="24"/>
                      <w:szCs w:val="24"/>
                    </w:rPr>
                  </w:pPr>
                  <w:r w:rsidRPr="003B1D84">
                    <w:rPr>
                      <w:sz w:val="24"/>
                      <w:szCs w:val="24"/>
                    </w:rPr>
                    <w:t>Mature red cells circulate for about 120 days. They are 8 μm biconcave discs lacking a nucleus but filled with haemoglobin, which delivers oxygen to the tissues from the lungs. In order to pass through the smallest capillaries the red cell membrane is adapted</w:t>
                  </w:r>
                  <w:r w:rsidR="00A97C1F" w:rsidRPr="003B1D84">
                    <w:rPr>
                      <w:sz w:val="24"/>
                      <w:szCs w:val="24"/>
                    </w:rPr>
                    <w:t xml:space="preserve"> to be deformable</w:t>
                  </w:r>
                  <w:r w:rsidRPr="003B1D84">
                    <w:rPr>
                      <w:sz w:val="24"/>
                      <w:szCs w:val="24"/>
                    </w:rPr>
                    <w:t>.</w:t>
                  </w: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5C3041" w:rsidRPr="003B1D84" w:rsidRDefault="00F753B9" w:rsidP="005C3041">
                        <w:pPr>
                          <w:jc w:val="right"/>
                          <w:rPr>
                            <w:rFonts w:eastAsia="Times New Roman" w:cs="Times New Roman"/>
                            <w:sz w:val="24"/>
                            <w:szCs w:val="24"/>
                          </w:rPr>
                        </w:pPr>
                        <w:bookmarkStart w:id="9" w:name="P024024"/>
                        <w:bookmarkEnd w:id="9"/>
                        <w:r w:rsidRPr="003B1D84">
                          <w:rPr>
                            <w:rFonts w:eastAsia="Times New Roman" w:cs="Times New Roman"/>
                            <w:b/>
                            <w:bCs/>
                            <w:i/>
                            <w:iCs/>
                            <w:sz w:val="24"/>
                            <w:szCs w:val="24"/>
                            <w:u w:val="single"/>
                          </w:rPr>
                          <w:t>Haemoglobin</w:t>
                        </w:r>
                        <w:r w:rsidRPr="003B1D84">
                          <w:rPr>
                            <w:rFonts w:eastAsia="Times New Roman" w:cs="Times New Roman"/>
                            <w:sz w:val="24"/>
                            <w:szCs w:val="24"/>
                          </w:rPr>
                          <w:t xml:space="preserve"> is a protein specially adapted for oxygen transport. It is composed of four globin chains, each surrounding an iron-containing porphyrin pigment molecule termed haem. Globin chains are a combination of two alpha and two non-alpha chains;</w:t>
                        </w:r>
                      </w:p>
                      <w:p w:rsidR="005C3041" w:rsidRPr="003B1D84" w:rsidRDefault="00F753B9" w:rsidP="005C3041">
                        <w:pPr>
                          <w:jc w:val="right"/>
                          <w:rPr>
                            <w:sz w:val="24"/>
                            <w:szCs w:val="24"/>
                          </w:rPr>
                        </w:pPr>
                        <w:r w:rsidRPr="003B1D84">
                          <w:rPr>
                            <w:rFonts w:eastAsia="Times New Roman" w:cs="Times New Roman"/>
                            <w:sz w:val="24"/>
                            <w:szCs w:val="24"/>
                          </w:rPr>
                          <w:t xml:space="preserve"> </w:t>
                        </w:r>
                        <w:r w:rsidR="005C3041" w:rsidRPr="003B1D84">
                          <w:rPr>
                            <w:rFonts w:eastAsia="Times New Roman"/>
                            <w:sz w:val="24"/>
                            <w:szCs w:val="24"/>
                          </w:rPr>
                          <w:t>1- haemoglobin A (αα/ββ) represents over 97% of adult haemoglobin,</w:t>
                        </w:r>
                      </w:p>
                      <w:p w:rsidR="005C3041" w:rsidRPr="003B1D84" w:rsidRDefault="005C3041" w:rsidP="005C3041">
                        <w:pPr>
                          <w:bidi w:val="0"/>
                          <w:spacing w:after="0" w:line="240" w:lineRule="auto"/>
                          <w:jc w:val="both"/>
                          <w:rPr>
                            <w:rFonts w:eastAsia="Times New Roman" w:cs="Times New Roman"/>
                            <w:sz w:val="24"/>
                            <w:szCs w:val="24"/>
                            <w:rtl/>
                            <w:lang w:bidi="ar-IQ"/>
                          </w:rPr>
                        </w:pPr>
                        <w:r w:rsidRPr="003B1D84">
                          <w:rPr>
                            <w:rFonts w:eastAsia="Times New Roman" w:cs="Times New Roman"/>
                            <w:sz w:val="24"/>
                            <w:szCs w:val="24"/>
                          </w:rPr>
                          <w:t xml:space="preserve"> 2- haemoglobin A2 (2alpha 2delta), present in 2.5%of people</w:t>
                        </w:r>
                      </w:p>
                      <w:p w:rsidR="005C3041" w:rsidRPr="003B1D84" w:rsidRDefault="005C3041" w:rsidP="005C3041">
                        <w:pPr>
                          <w:bidi w:val="0"/>
                          <w:spacing w:after="0" w:line="240" w:lineRule="auto"/>
                          <w:jc w:val="both"/>
                          <w:rPr>
                            <w:rFonts w:eastAsia="Times New Roman" w:cs="Times New Roman"/>
                            <w:sz w:val="24"/>
                            <w:szCs w:val="24"/>
                            <w:rtl/>
                            <w:lang w:bidi="ar-IQ"/>
                          </w:rPr>
                        </w:pPr>
                        <w:r w:rsidRPr="003B1D84">
                          <w:rPr>
                            <w:rFonts w:eastAsia="Times New Roman" w:cs="Times New Roman"/>
                            <w:sz w:val="24"/>
                            <w:szCs w:val="24"/>
                          </w:rPr>
                          <w:t>3- haemoglobin F (2 alpha 2gama) is the predominant type in the fetus.</w:t>
                        </w:r>
                      </w:p>
                      <w:p w:rsidR="00625F2B" w:rsidRPr="003B1D84" w:rsidRDefault="00625F2B" w:rsidP="005C3041">
                        <w:pPr>
                          <w:bidi w:val="0"/>
                          <w:spacing w:after="0" w:line="240" w:lineRule="auto"/>
                          <w:jc w:val="both"/>
                          <w:rPr>
                            <w:rFonts w:eastAsia="Times New Roman" w:cs="Times New Roman"/>
                            <w:sz w:val="24"/>
                            <w:szCs w:val="24"/>
                            <w:lang w:bidi="ar-IQ"/>
                          </w:rPr>
                        </w:pPr>
                      </w:p>
                      <w:p w:rsidR="006A3A9B" w:rsidRPr="003B1D84" w:rsidRDefault="006A3A9B" w:rsidP="00625F2B">
                        <w:pPr>
                          <w:bidi w:val="0"/>
                          <w:spacing w:after="0" w:line="240" w:lineRule="auto"/>
                          <w:rPr>
                            <w:rFonts w:eastAsia="Times New Roman" w:cs="Times New Roman"/>
                            <w:sz w:val="24"/>
                            <w:szCs w:val="24"/>
                          </w:rPr>
                        </w:pPr>
                      </w:p>
                      <w:p w:rsidR="00F753B9" w:rsidRPr="003B1D84" w:rsidRDefault="00F753B9" w:rsidP="006A3A9B">
                        <w:pPr>
                          <w:bidi w:val="0"/>
                          <w:spacing w:after="0" w:line="240" w:lineRule="auto"/>
                          <w:rPr>
                            <w:rFonts w:eastAsia="Times New Roman" w:cs="Times New Roman"/>
                            <w:sz w:val="24"/>
                            <w:szCs w:val="24"/>
                          </w:rPr>
                        </w:pPr>
                        <w:r w:rsidRPr="003B1D84">
                          <w:rPr>
                            <w:rFonts w:eastAsia="Times New Roman" w:cs="Times New Roman"/>
                            <w:sz w:val="24"/>
                            <w:szCs w:val="24"/>
                          </w:rPr>
                          <w:t xml:space="preserve"> Each haem molecule contains a ferrous ion (Fe</w:t>
                        </w:r>
                        <w:r w:rsidRPr="003B1D84">
                          <w:rPr>
                            <w:rFonts w:eastAsia="Times New Roman" w:cs="Times New Roman"/>
                            <w:sz w:val="24"/>
                            <w:szCs w:val="24"/>
                            <w:vertAlign w:val="superscript"/>
                          </w:rPr>
                          <w:t>2+</w:t>
                        </w:r>
                        <w:r w:rsidRPr="003B1D84">
                          <w:rPr>
                            <w:rFonts w:eastAsia="Times New Roman" w:cs="Times New Roman"/>
                            <w:sz w:val="24"/>
                            <w:szCs w:val="24"/>
                          </w:rPr>
                          <w:t xml:space="preserve">) to which oxygen reversibly binds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A97C1F">
                        <w:pPr>
                          <w:bidi w:val="0"/>
                          <w:spacing w:after="0" w:line="240" w:lineRule="auto"/>
                          <w:rPr>
                            <w:rFonts w:eastAsia="Times New Roman" w:cs="Times New Roman"/>
                            <w:sz w:val="24"/>
                            <w:szCs w:val="24"/>
                          </w:rPr>
                        </w:pPr>
                        <w:bookmarkStart w:id="10" w:name="P024026"/>
                        <w:bookmarkEnd w:id="10"/>
                        <w:r w:rsidRPr="003B1D84">
                          <w:rPr>
                            <w:rFonts w:eastAsia="Times New Roman" w:cs="Times New Roman"/>
                            <w:sz w:val="24"/>
                            <w:szCs w:val="24"/>
                          </w:rPr>
                          <w:t xml:space="preserve">Genetic mutations affecting the haem-binding pockets of globin chains or the 'hinge' interactions between globin chains result in haemoglobinopathies or unstable haemoglobins. Alpha globin chains are produced by two genes on chromosome 16 and </w:t>
                        </w:r>
                        <w:r w:rsidRPr="003B1D84">
                          <w:rPr>
                            <w:rFonts w:eastAsia="Times New Roman" w:cs="Times New Roman"/>
                            <w:sz w:val="24"/>
                            <w:szCs w:val="24"/>
                          </w:rPr>
                          <w:lastRenderedPageBreak/>
                          <w:t xml:space="preserve">beta globin chains by a single gene on chromosome 11; imbalance in the production of globin chains produces the thalassaemias. </w:t>
                        </w:r>
                        <w:r w:rsidR="00C22237" w:rsidRPr="003B1D84">
                          <w:rPr>
                            <w:rFonts w:eastAsia="Times New Roman" w:cs="Times New Roman"/>
                            <w:noProof/>
                            <w:sz w:val="24"/>
                            <w:szCs w:val="24"/>
                          </w:rPr>
                          <w:drawing>
                            <wp:inline distT="0" distB="0" distL="0" distR="0">
                              <wp:extent cx="2552700" cy="2000250"/>
                              <wp:effectExtent l="19050" t="0" r="0" b="0"/>
                              <wp:docPr id="18" name="صورة 18" descr="C:\Users\jannat\Desktop\hemoglob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annat\Desktop\hemoglobin1.jpg"/>
                                      <pic:cNvPicPr>
                                        <a:picLocks noChangeAspect="1" noChangeArrowheads="1"/>
                                      </pic:cNvPicPr>
                                    </pic:nvPicPr>
                                    <pic:blipFill>
                                      <a:blip r:embed="rId8"/>
                                      <a:srcRect/>
                                      <a:stretch>
                                        <a:fillRect/>
                                      </a:stretch>
                                    </pic:blipFill>
                                    <pic:spPr bwMode="auto">
                                      <a:xfrm>
                                        <a:off x="0" y="0"/>
                                        <a:ext cx="2552700" cy="2000250"/>
                                      </a:xfrm>
                                      <a:prstGeom prst="rect">
                                        <a:avLst/>
                                      </a:prstGeom>
                                      <a:noFill/>
                                      <a:ln w="9525">
                                        <a:noFill/>
                                        <a:miter lim="800000"/>
                                        <a:headEnd/>
                                        <a:tailEnd/>
                                      </a:ln>
                                    </pic:spPr>
                                  </pic:pic>
                                </a:graphicData>
                              </a:graphic>
                            </wp:inline>
                          </w:drawing>
                        </w:r>
                      </w:p>
                      <w:p w:rsidR="00C22237" w:rsidRPr="003B1D84" w:rsidRDefault="00C22237" w:rsidP="00C22237">
                        <w:pPr>
                          <w:bidi w:val="0"/>
                          <w:spacing w:after="0" w:line="240" w:lineRule="auto"/>
                          <w:rPr>
                            <w:rFonts w:eastAsia="Times New Roman" w:cs="Times New Roman"/>
                            <w:sz w:val="24"/>
                            <w:szCs w:val="24"/>
                          </w:rPr>
                        </w:pPr>
                      </w:p>
                    </w:tc>
                  </w:tr>
                </w:tbl>
                <w:p w:rsidR="00F753B9" w:rsidRPr="003B1D84" w:rsidRDefault="00F753B9" w:rsidP="00F753B9">
                  <w:pPr>
                    <w:bidi w:val="0"/>
                    <w:spacing w:after="0" w:line="240" w:lineRule="auto"/>
                    <w:rPr>
                      <w:rFonts w:eastAsia="Times New Roman" w:cs="Times New Roman"/>
                      <w:vanish/>
                      <w:sz w:val="24"/>
                      <w:szCs w:val="24"/>
                    </w:rPr>
                  </w:pPr>
                </w:p>
                <w:p w:rsidR="00F753B9" w:rsidRPr="003B1D84" w:rsidRDefault="00F753B9" w:rsidP="00F753B9">
                  <w:pPr>
                    <w:bidi w:val="0"/>
                    <w:spacing w:after="0" w:line="240" w:lineRule="auto"/>
                    <w:rPr>
                      <w:rFonts w:eastAsia="Times New Roman" w:cs="Times New Roman"/>
                      <w:vanish/>
                      <w:sz w:val="24"/>
                      <w:szCs w:val="24"/>
                    </w:rPr>
                  </w:pPr>
                  <w:bookmarkStart w:id="11" w:name="HC024011"/>
                  <w:bookmarkEnd w:id="11"/>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b/>
                            <w:bCs/>
                            <w:sz w:val="24"/>
                            <w:szCs w:val="24"/>
                          </w:rPr>
                        </w:pPr>
                        <w:bookmarkStart w:id="12" w:name="HC024012"/>
                        <w:bookmarkEnd w:id="12"/>
                        <w:r w:rsidRPr="003B1D84">
                          <w:rPr>
                            <w:rFonts w:eastAsia="Times New Roman" w:cs="Times New Roman"/>
                            <w:b/>
                            <w:bCs/>
                            <w:sz w:val="24"/>
                            <w:szCs w:val="24"/>
                          </w:rPr>
                          <w:t xml:space="preserve">White cells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C22237">
                        <w:pPr>
                          <w:bidi w:val="0"/>
                          <w:spacing w:after="0" w:line="240" w:lineRule="auto"/>
                          <w:rPr>
                            <w:rFonts w:eastAsia="Times New Roman" w:cs="Times New Roman"/>
                            <w:sz w:val="24"/>
                            <w:szCs w:val="24"/>
                          </w:rPr>
                        </w:pPr>
                        <w:bookmarkStart w:id="13" w:name="P024028"/>
                        <w:bookmarkEnd w:id="13"/>
                        <w:r w:rsidRPr="003B1D84">
                          <w:rPr>
                            <w:rFonts w:eastAsia="Times New Roman" w:cs="Times New Roman"/>
                            <w:sz w:val="24"/>
                            <w:szCs w:val="24"/>
                          </w:rPr>
                          <w:t xml:space="preserve">White cells or leucocytes in the blood consist of granulocytes (neutrophils, eosinophils and basophils), monocytes and lymphocytes </w:t>
                        </w:r>
                        <w:r w:rsidR="00C22237" w:rsidRPr="003B1D84">
                          <w:rPr>
                            <w:rFonts w:eastAsia="Times New Roman" w:cs="Times New Roman"/>
                            <w:sz w:val="24"/>
                            <w:szCs w:val="24"/>
                          </w:rPr>
                          <w:t>.</w:t>
                        </w:r>
                        <w:r w:rsidRPr="003B1D84">
                          <w:rPr>
                            <w:rFonts w:eastAsia="Times New Roman" w:cs="Times New Roman"/>
                            <w:sz w:val="24"/>
                            <w:szCs w:val="24"/>
                          </w:rPr>
                          <w:t>Granulocytes and monocytes are formed from bone marrow CFU-GM progenitor cells. The first recognisable granulocyte in the marro</w:t>
                        </w:r>
                        <w:r w:rsidR="00A06F60" w:rsidRPr="003B1D84">
                          <w:rPr>
                            <w:rFonts w:eastAsia="Times New Roman" w:cs="Times New Roman"/>
                            <w:sz w:val="24"/>
                            <w:szCs w:val="24"/>
                          </w:rPr>
                          <w:t>w is the myeloblast,</w:t>
                        </w:r>
                        <w:r w:rsidRPr="003B1D84">
                          <w:rPr>
                            <w:rFonts w:eastAsia="Times New Roman" w:cs="Times New Roman"/>
                            <w:sz w:val="24"/>
                            <w:szCs w:val="24"/>
                          </w:rPr>
                          <w:t>. As the cells divide and mature, the nucleus segments and the cytoplasm acquires specific neutrophilic, eosinophilic or basophilic granules</w:t>
                        </w:r>
                        <w:r w:rsidR="00F65471" w:rsidRPr="003B1D84">
                          <w:rPr>
                            <w:rFonts w:eastAsia="Times New Roman" w:cs="Times New Roman"/>
                            <w:sz w:val="24"/>
                            <w:szCs w:val="24"/>
                          </w:rPr>
                          <w:t>. This takes about 14 days</w:t>
                        </w:r>
                        <w:r w:rsidRPr="003B1D84">
                          <w:rPr>
                            <w:rFonts w:eastAsia="Times New Roman" w:cs="Times New Roman"/>
                            <w:sz w:val="24"/>
                            <w:szCs w:val="24"/>
                          </w:rPr>
                          <w:t xml:space="preserve">.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rPr>
                        </w:pPr>
                        <w:bookmarkStart w:id="14" w:name="P024029"/>
                        <w:bookmarkEnd w:id="14"/>
                        <w:r w:rsidRPr="003B1D84">
                          <w:rPr>
                            <w:rFonts w:eastAsia="Times New Roman" w:cs="Times New Roman"/>
                            <w:sz w:val="24"/>
                            <w:szCs w:val="24"/>
                          </w:rPr>
                          <w:t xml:space="preserve">Myelocytes or metamyelocytes are normally only found in the marrow but may appear in the circulation in infection or toxic states. The appearance of more primitive myeloid precursors in the blood is often associated with the presence of nucleated red cells and is termed a 'leucoerythroblastic' picture; this indicates a serious disturbance of marrow function.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u w:val="single"/>
                          </w:rPr>
                        </w:pPr>
                        <w:bookmarkStart w:id="15" w:name="HC024013"/>
                        <w:bookmarkEnd w:id="15"/>
                        <w:r w:rsidRPr="003B1D84">
                          <w:rPr>
                            <w:rFonts w:eastAsia="Times New Roman" w:cs="Times New Roman"/>
                            <w:sz w:val="24"/>
                            <w:szCs w:val="24"/>
                            <w:u w:val="single"/>
                          </w:rPr>
                          <w:t xml:space="preserve">Neutrophils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A06F60">
                        <w:pPr>
                          <w:bidi w:val="0"/>
                          <w:spacing w:after="0" w:line="240" w:lineRule="auto"/>
                          <w:rPr>
                            <w:rFonts w:eastAsia="Times New Roman" w:cs="Times New Roman"/>
                            <w:sz w:val="24"/>
                            <w:szCs w:val="24"/>
                          </w:rPr>
                        </w:pPr>
                        <w:bookmarkStart w:id="16" w:name="P024030"/>
                        <w:bookmarkEnd w:id="16"/>
                        <w:r w:rsidRPr="003B1D84">
                          <w:rPr>
                            <w:rFonts w:eastAsia="Times New Roman" w:cs="Times New Roman"/>
                            <w:sz w:val="24"/>
                            <w:szCs w:val="24"/>
                          </w:rPr>
                          <w:t xml:space="preserve">Neutrophils, the most common white blood cells in the blood of adults, are 10-14 μm in diameter with a multilobular nucleus containing 2-5 segments and granules in their cytoplasm. Their main function is to recognise, ingest and destroy foreign particles and microorganisms.. Neutrophils spend 6-10 hours in the circulation before being removed, principally by the spleen. Alternatively, they pass into the tissues and either are consumed in the inflammatory process or undergo apoptotic cell death and phagocytosis by macrophages.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u w:val="single"/>
                          </w:rPr>
                        </w:pPr>
                        <w:bookmarkStart w:id="17" w:name="HC024014"/>
                        <w:bookmarkEnd w:id="17"/>
                        <w:r w:rsidRPr="003B1D84">
                          <w:rPr>
                            <w:rFonts w:eastAsia="Times New Roman" w:cs="Times New Roman"/>
                            <w:sz w:val="24"/>
                            <w:szCs w:val="24"/>
                            <w:u w:val="single"/>
                          </w:rPr>
                          <w:t xml:space="preserve">Eosinophils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D15B0">
                        <w:pPr>
                          <w:bidi w:val="0"/>
                          <w:spacing w:after="0" w:line="240" w:lineRule="auto"/>
                          <w:rPr>
                            <w:rFonts w:eastAsia="Times New Roman" w:cs="Times New Roman"/>
                            <w:sz w:val="24"/>
                            <w:szCs w:val="24"/>
                          </w:rPr>
                        </w:pPr>
                        <w:bookmarkStart w:id="18" w:name="P024031"/>
                        <w:bookmarkEnd w:id="18"/>
                        <w:r w:rsidRPr="003B1D84">
                          <w:rPr>
                            <w:rFonts w:eastAsia="Times New Roman" w:cs="Times New Roman"/>
                            <w:sz w:val="24"/>
                            <w:szCs w:val="24"/>
                          </w:rPr>
                          <w:t xml:space="preserve">Eosinophils represent 1-6% of the circulating white cells. They are a similar size to neutrophils but have a bilobed nucleus and prominent orange granules on Romanowsky staining. Eosinophils are phagocytic and their granules contain a peroxidase capable of generating reactive oxygen species and proteins involved in the intracellular killing of protozoa and helminths </w:t>
                        </w:r>
                        <w:r w:rsidR="00FD15B0" w:rsidRPr="003B1D84">
                          <w:rPr>
                            <w:rFonts w:eastAsia="Times New Roman" w:cs="Times New Roman"/>
                            <w:sz w:val="24"/>
                            <w:szCs w:val="24"/>
                          </w:rPr>
                          <w:t>.</w:t>
                        </w:r>
                        <w:r w:rsidRPr="003B1D84">
                          <w:rPr>
                            <w:rFonts w:eastAsia="Times New Roman" w:cs="Times New Roman"/>
                            <w:sz w:val="24"/>
                            <w:szCs w:val="24"/>
                          </w:rPr>
                          <w:t xml:space="preserve"> They are also involved in allergic reactions (e.g. atopic asthma).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u w:val="single"/>
                          </w:rPr>
                        </w:pPr>
                        <w:bookmarkStart w:id="19" w:name="HC024015"/>
                        <w:bookmarkEnd w:id="19"/>
                        <w:r w:rsidRPr="003B1D84">
                          <w:rPr>
                            <w:rFonts w:eastAsia="Times New Roman" w:cs="Times New Roman"/>
                            <w:sz w:val="24"/>
                            <w:szCs w:val="24"/>
                            <w:u w:val="single"/>
                          </w:rPr>
                          <w:t xml:space="preserve">Basophils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D15B0">
                        <w:pPr>
                          <w:bidi w:val="0"/>
                          <w:spacing w:after="0" w:line="240" w:lineRule="auto"/>
                          <w:rPr>
                            <w:rFonts w:eastAsia="Times New Roman" w:cs="Times New Roman"/>
                            <w:sz w:val="24"/>
                            <w:szCs w:val="24"/>
                          </w:rPr>
                        </w:pPr>
                        <w:bookmarkStart w:id="20" w:name="P024032"/>
                        <w:bookmarkEnd w:id="20"/>
                        <w:r w:rsidRPr="003B1D84">
                          <w:rPr>
                            <w:rFonts w:eastAsia="Times New Roman" w:cs="Times New Roman"/>
                            <w:sz w:val="24"/>
                            <w:szCs w:val="24"/>
                          </w:rPr>
                          <w:t xml:space="preserve">These cells are less common than eosinophils, representing less than 1% of circulating white cells. They contain dense black granules which obscure the nucleus. Mast cells resemble basophils but are only found in the tissues. These cells are involved in hypersensitivity reactions </w:t>
                        </w:r>
                        <w:r w:rsidR="00FD15B0" w:rsidRPr="003B1D84">
                          <w:rPr>
                            <w:rFonts w:eastAsia="Times New Roman" w:cs="Times New Roman"/>
                            <w:sz w:val="24"/>
                            <w:szCs w:val="24"/>
                          </w:rPr>
                          <w:t>.</w:t>
                        </w:r>
                        <w:r w:rsidRPr="003B1D84">
                          <w:rPr>
                            <w:rFonts w:eastAsia="Times New Roman" w:cs="Times New Roman"/>
                            <w:sz w:val="24"/>
                            <w:szCs w:val="24"/>
                          </w:rPr>
                          <w:t xml:space="preserve">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u w:val="single"/>
                          </w:rPr>
                        </w:pPr>
                        <w:bookmarkStart w:id="21" w:name="HC024016"/>
                        <w:bookmarkEnd w:id="21"/>
                        <w:r w:rsidRPr="003B1D84">
                          <w:rPr>
                            <w:rFonts w:eastAsia="Times New Roman" w:cs="Times New Roman"/>
                            <w:sz w:val="24"/>
                            <w:szCs w:val="24"/>
                            <w:u w:val="single"/>
                          </w:rPr>
                          <w:t xml:space="preserve">Monocytes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D15B0">
                        <w:pPr>
                          <w:bidi w:val="0"/>
                          <w:spacing w:after="0" w:line="240" w:lineRule="auto"/>
                          <w:rPr>
                            <w:rFonts w:eastAsia="Times New Roman" w:cs="Times New Roman"/>
                            <w:sz w:val="24"/>
                            <w:szCs w:val="24"/>
                          </w:rPr>
                        </w:pPr>
                        <w:bookmarkStart w:id="22" w:name="P024033"/>
                        <w:bookmarkEnd w:id="22"/>
                        <w:r w:rsidRPr="003B1D84">
                          <w:rPr>
                            <w:rFonts w:eastAsia="Times New Roman" w:cs="Times New Roman"/>
                            <w:sz w:val="24"/>
                            <w:szCs w:val="24"/>
                          </w:rPr>
                          <w:t xml:space="preserve">Monocytes are the largest of the white cells, with a diameter of 12-20 μm and an irregular nucleus in abundant pale blue cytoplasm containing occasional cytoplasmic vacuoles. These cells circulate for a few hours and then migrate into the tissue where they become macrophages, Kupffer cells or antigen-presenting dendritic cells. The former phagocytose debris, apoptotic cells and microorganisms .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u w:val="single"/>
                          </w:rPr>
                        </w:pPr>
                        <w:bookmarkStart w:id="23" w:name="HC024017"/>
                        <w:bookmarkEnd w:id="23"/>
                        <w:r w:rsidRPr="003B1D84">
                          <w:rPr>
                            <w:rFonts w:eastAsia="Times New Roman" w:cs="Times New Roman"/>
                            <w:sz w:val="24"/>
                            <w:szCs w:val="24"/>
                            <w:u w:val="single"/>
                          </w:rPr>
                          <w:t xml:space="preserve">Lymphocytes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rPr>
                        </w:pPr>
                        <w:bookmarkStart w:id="24" w:name="P024034"/>
                        <w:bookmarkEnd w:id="24"/>
                        <w:r w:rsidRPr="003B1D84">
                          <w:rPr>
                            <w:rFonts w:eastAsia="Times New Roman" w:cs="Times New Roman"/>
                            <w:sz w:val="24"/>
                            <w:szCs w:val="24"/>
                          </w:rPr>
                          <w:lastRenderedPageBreak/>
                          <w:t>Lymphocytes are derived from pluripotent haematopoietic stem cells in the bone marrow. There are two main types: T cells (which mediate cellular immunity) and B cells (which media</w:t>
                        </w:r>
                        <w:r w:rsidR="003007B0" w:rsidRPr="003B1D84">
                          <w:rPr>
                            <w:rFonts w:eastAsia="Times New Roman" w:cs="Times New Roman"/>
                            <w:sz w:val="24"/>
                            <w:szCs w:val="24"/>
                          </w:rPr>
                          <w:t xml:space="preserve">te humoral immunity) </w:t>
                        </w:r>
                        <w:r w:rsidRPr="003B1D84">
                          <w:rPr>
                            <w:rFonts w:eastAsia="Times New Roman" w:cs="Times New Roman"/>
                            <w:sz w:val="24"/>
                            <w:szCs w:val="24"/>
                          </w:rPr>
                          <w:t xml:space="preserve">. Lymphoid cells which migrate to the thymus develop into T cells, whereas B cells develop in the bone marrow. </w:t>
                        </w:r>
                      </w:p>
                    </w:tc>
                  </w:tr>
                </w:tbl>
                <w:p w:rsidR="00F753B9" w:rsidRPr="003B1D84" w:rsidRDefault="00F753B9" w:rsidP="00F753B9">
                  <w:pPr>
                    <w:bidi w:val="0"/>
                    <w:spacing w:after="0" w:line="240" w:lineRule="auto"/>
                    <w:rPr>
                      <w:rFonts w:eastAsia="Times New Roman" w:cs="Times New Roman"/>
                      <w:vanish/>
                      <w:sz w:val="24"/>
                      <w:szCs w:val="24"/>
                    </w:rPr>
                  </w:pPr>
                </w:p>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753B9">
                        <w:pPr>
                          <w:bidi w:val="0"/>
                          <w:spacing w:after="0" w:line="240" w:lineRule="auto"/>
                          <w:rPr>
                            <w:rFonts w:eastAsia="Times New Roman" w:cs="Times New Roman"/>
                            <w:sz w:val="24"/>
                            <w:szCs w:val="24"/>
                          </w:rPr>
                        </w:pPr>
                        <w:bookmarkStart w:id="25" w:name="P024035"/>
                        <w:bookmarkEnd w:id="25"/>
                        <w:r w:rsidRPr="003B1D84">
                          <w:rPr>
                            <w:rFonts w:eastAsia="Times New Roman" w:cs="Times New Roman"/>
                            <w:sz w:val="24"/>
                            <w:szCs w:val="24"/>
                          </w:rPr>
                          <w:t xml:space="preserve">The majority of lymphocytes (approximately 80%) in the circulation are T cells. </w:t>
                        </w: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FD15B0">
                              <w:pPr>
                                <w:bidi w:val="0"/>
                                <w:spacing w:after="0" w:line="240" w:lineRule="auto"/>
                                <w:rPr>
                                  <w:rFonts w:eastAsia="Times New Roman" w:cs="Times New Roman"/>
                                  <w:sz w:val="24"/>
                                  <w:szCs w:val="24"/>
                                </w:rPr>
                              </w:pPr>
                              <w:bookmarkStart w:id="26" w:name="P024037"/>
                              <w:bookmarkEnd w:id="26"/>
                              <w:r w:rsidRPr="003B1D84">
                                <w:rPr>
                                  <w:rFonts w:eastAsia="Times New Roman" w:cs="Times New Roman"/>
                                  <w:b/>
                                  <w:bCs/>
                                  <w:i/>
                                  <w:iCs/>
                                  <w:sz w:val="24"/>
                                  <w:szCs w:val="24"/>
                                  <w:u w:val="single"/>
                                </w:rPr>
                                <w:t>Platelets</w:t>
                              </w:r>
                              <w:r w:rsidRPr="003B1D84">
                                <w:rPr>
                                  <w:rFonts w:eastAsia="Times New Roman" w:cs="Times New Roman"/>
                                  <w:sz w:val="24"/>
                                  <w:szCs w:val="24"/>
                                </w:rPr>
                                <w:t xml:space="preserve"> are formed in the bone marrow from megakaryocytes. The formation and maturation of megakaryocytes are stimulated by thrombopoietin produced in the liver. Platelets circulate for 8-10 days before they are destroyed in the reticulo-endothelial system. Some 30% of peripheral platelets are normally pooled in the spleen and do not circulate.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519"/>
                        </w:tblGrid>
                        <w:tr w:rsidR="00F753B9" w:rsidRPr="003B1D84">
                          <w:trPr>
                            <w:tblCellSpacing w:w="0" w:type="dxa"/>
                          </w:trPr>
                          <w:tc>
                            <w:tcPr>
                              <w:tcW w:w="5000" w:type="pct"/>
                              <w:shd w:val="clear" w:color="auto" w:fill="FFFFFF"/>
                              <w:vAlign w:val="center"/>
                              <w:hideMark/>
                            </w:tcPr>
                            <w:p w:rsidR="00F753B9" w:rsidRPr="003B1D84" w:rsidRDefault="00F753B9" w:rsidP="00C22237">
                              <w:pPr>
                                <w:bidi w:val="0"/>
                                <w:spacing w:after="0" w:line="240" w:lineRule="auto"/>
                                <w:rPr>
                                  <w:rFonts w:eastAsia="Times New Roman" w:cs="Times New Roman"/>
                                  <w:sz w:val="24"/>
                                  <w:szCs w:val="24"/>
                                </w:rPr>
                              </w:pPr>
                              <w:bookmarkStart w:id="27" w:name="P024039"/>
                              <w:bookmarkEnd w:id="27"/>
                              <w:r w:rsidRPr="003B1D84">
                                <w:rPr>
                                  <w:rFonts w:eastAsia="Times New Roman" w:cs="Times New Roman"/>
                                  <w:sz w:val="24"/>
                                  <w:szCs w:val="24"/>
                                </w:rPr>
                                <w:t xml:space="preserve">Under normal conditions platelets are discoid, with a diameter of 2-4 μm </w:t>
                              </w:r>
                              <w:r w:rsidR="00FD15B0" w:rsidRPr="003B1D84">
                                <w:rPr>
                                  <w:rFonts w:eastAsia="Times New Roman" w:cs="Times New Roman"/>
                                  <w:sz w:val="24"/>
                                  <w:szCs w:val="24"/>
                                </w:rPr>
                                <w:t>.</w:t>
                              </w:r>
                              <w:r w:rsidRPr="003B1D84">
                                <w:rPr>
                                  <w:rFonts w:eastAsia="Times New Roman" w:cs="Times New Roman"/>
                                  <w:sz w:val="24"/>
                                  <w:szCs w:val="24"/>
                                </w:rPr>
                                <w:t xml:space="preserve"> </w:t>
                              </w:r>
                            </w:p>
                          </w:tc>
                        </w:tr>
                      </w:tbl>
                      <w:p w:rsidR="00F753B9" w:rsidRPr="003B1D84" w:rsidRDefault="00F753B9" w:rsidP="00F753B9">
                        <w:pPr>
                          <w:bidi w:val="0"/>
                          <w:spacing w:after="0" w:line="240" w:lineRule="auto"/>
                          <w:rPr>
                            <w:rFonts w:eastAsia="Times New Roman" w:cs="Times New Roman"/>
                            <w:sz w:val="24"/>
                            <w:szCs w:val="24"/>
                          </w:rPr>
                        </w:pPr>
                      </w:p>
                    </w:tc>
                  </w:tr>
                </w:tbl>
                <w:p w:rsidR="00F753B9" w:rsidRPr="003B1D84" w:rsidRDefault="00F753B9" w:rsidP="00F753B9">
                  <w:pPr>
                    <w:bidi w:val="0"/>
                    <w:spacing w:after="0" w:line="240" w:lineRule="auto"/>
                    <w:rPr>
                      <w:rFonts w:eastAsia="Times New Roman" w:cs="Times New Roman"/>
                      <w:sz w:val="24"/>
                      <w:szCs w:val="24"/>
                    </w:rPr>
                  </w:pPr>
                </w:p>
              </w:tc>
            </w:tr>
          </w:tbl>
          <w:p w:rsidR="00F753B9" w:rsidRPr="003B1D84" w:rsidRDefault="00F753B9" w:rsidP="00F753B9">
            <w:pPr>
              <w:bidi w:val="0"/>
              <w:spacing w:after="0" w:line="240" w:lineRule="auto"/>
              <w:rPr>
                <w:rFonts w:eastAsia="Times New Roman" w:cs="Times New Roman"/>
                <w:sz w:val="24"/>
                <w:szCs w:val="24"/>
              </w:rPr>
            </w:pPr>
          </w:p>
        </w:tc>
      </w:tr>
      <w:tr w:rsidR="00F753B9" w:rsidRPr="003B1D84" w:rsidTr="00EC3A75">
        <w:tblPrEx>
          <w:jc w:val="center"/>
          <w:tblCellMar>
            <w:top w:w="15" w:type="dxa"/>
            <w:left w:w="15" w:type="dxa"/>
            <w:bottom w:w="15" w:type="dxa"/>
            <w:right w:w="15" w:type="dxa"/>
          </w:tblCellMar>
        </w:tblPrEx>
        <w:trPr>
          <w:gridAfter w:val="1"/>
          <w:wAfter w:w="4266" w:type="pct"/>
          <w:tblCellSpacing w:w="0" w:type="dxa"/>
          <w:jc w:val="center"/>
        </w:trPr>
        <w:tc>
          <w:tcPr>
            <w:tcW w:w="734" w:type="pct"/>
            <w:gridSpan w:val="2"/>
            <w:shd w:val="clear" w:color="auto" w:fill="FFFFFF"/>
            <w:hideMark/>
          </w:tcPr>
          <w:p w:rsidR="00C22237" w:rsidRPr="003B1D84" w:rsidRDefault="00C22237" w:rsidP="00F753B9">
            <w:pPr>
              <w:bidi w:val="0"/>
              <w:spacing w:after="0" w:line="240" w:lineRule="auto"/>
              <w:rPr>
                <w:rFonts w:eastAsia="Times New Roman" w:cs="Times New Roman"/>
                <w:sz w:val="24"/>
                <w:szCs w:val="24"/>
              </w:rPr>
            </w:pPr>
            <w:bookmarkStart w:id="28" w:name="TI024011.100"/>
            <w:bookmarkEnd w:id="28"/>
          </w:p>
          <w:p w:rsidR="00F753B9" w:rsidRPr="003B1D84" w:rsidRDefault="00F753B9" w:rsidP="00C22237">
            <w:pPr>
              <w:bidi w:val="0"/>
              <w:spacing w:after="0" w:line="240" w:lineRule="auto"/>
              <w:rPr>
                <w:rFonts w:eastAsia="Times New Roman" w:cs="Times New Roman"/>
                <w:sz w:val="24"/>
                <w:szCs w:val="24"/>
              </w:rPr>
            </w:pPr>
            <w:r w:rsidRPr="003B1D84">
              <w:rPr>
                <w:rFonts w:eastAsia="Times New Roman" w:cs="Times New Roman"/>
                <w:sz w:val="24"/>
                <w:szCs w:val="24"/>
              </w:rPr>
              <w:t>Neutrophilia</w:t>
            </w:r>
          </w:p>
        </w:tc>
      </w:tr>
    </w:tbl>
    <w:p w:rsidR="00F753B9" w:rsidRPr="003B1D84" w:rsidRDefault="00F753B9" w:rsidP="00F753B9">
      <w:pPr>
        <w:bidi w:val="0"/>
        <w:spacing w:after="0" w:line="240" w:lineRule="auto"/>
        <w:rPr>
          <w:rFonts w:eastAsia="Times New Roman" w:cs="Times New Roman"/>
          <w:vanish/>
          <w:sz w:val="24"/>
          <w:szCs w:val="24"/>
        </w:rPr>
      </w:pP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bookmarkStart w:id="29" w:name="P024096"/>
            <w:bookmarkEnd w:id="29"/>
            <w:r w:rsidRPr="003B1D84">
              <w:rPr>
                <w:rFonts w:eastAsia="Times New Roman" w:cs="Times New Roman"/>
                <w:sz w:val="24"/>
                <w:szCs w:val="24"/>
              </w:rPr>
              <w:t xml:space="preserve">Infection: bacterial, fungal </w:t>
            </w:r>
          </w:p>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Trauma: surgery, burns </w:t>
            </w:r>
          </w:p>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Infarction: myocardial infarct, pulmonary embolus, sickle-cell crisis </w:t>
            </w:r>
          </w:p>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Inflammation: gout, rheumatoid arthritis, ulcerative colitis, Crohn's disease </w:t>
            </w:r>
          </w:p>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Malignancy: solid tumours, Hodgkin lymphoma </w:t>
            </w:r>
          </w:p>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Myeloproliferative disease: polycythaemia, chronic myeloid leukaemia </w:t>
            </w:r>
            <w:r w:rsidR="00943622" w:rsidRPr="003B1D84">
              <w:rPr>
                <w:rFonts w:eastAsia="Times New Roman" w:cs="Times New Roman"/>
                <w:sz w:val="24"/>
                <w:szCs w:val="24"/>
              </w:rPr>
              <w:t>(CML)</w:t>
            </w:r>
          </w:p>
          <w:p w:rsidR="00F753B9" w:rsidRPr="003B1D84" w:rsidRDefault="00F753B9" w:rsidP="00F753B9">
            <w:pPr>
              <w:numPr>
                <w:ilvl w:val="0"/>
                <w:numId w:val="1"/>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Physiological: exercise, pregnancy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rsidTr="00F753B9">
        <w:trPr>
          <w:tblCellSpacing w:w="0" w:type="dxa"/>
        </w:trPr>
        <w:tc>
          <w:tcPr>
            <w:tcW w:w="5000" w:type="pct"/>
            <w:vAlign w:val="center"/>
            <w:hideMark/>
          </w:tcPr>
          <w:p w:rsidR="00F753B9" w:rsidRPr="003B1D84" w:rsidRDefault="005F2B73" w:rsidP="00F753B9">
            <w:pPr>
              <w:bidi w:val="0"/>
              <w:spacing w:after="0" w:line="240" w:lineRule="auto"/>
              <w:rPr>
                <w:rFonts w:eastAsia="Times New Roman" w:cs="Times New Roman"/>
                <w:sz w:val="24"/>
                <w:szCs w:val="24"/>
              </w:rPr>
            </w:pPr>
            <w:r w:rsidRPr="005F2B73">
              <w:rPr>
                <w:rFonts w:eastAsia="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pt;height:7.5pt"/>
              </w:pict>
            </w:r>
          </w:p>
        </w:tc>
      </w:tr>
    </w:tbl>
    <w:p w:rsidR="00F753B9" w:rsidRPr="003B1D84" w:rsidRDefault="00F753B9" w:rsidP="00F753B9">
      <w:pPr>
        <w:bidi w:val="0"/>
        <w:spacing w:after="0" w:line="240" w:lineRule="auto"/>
        <w:rPr>
          <w:rFonts w:eastAsia="Times New Roman" w:cs="Times New Roman"/>
          <w:sz w:val="24"/>
          <w:szCs w:val="24"/>
        </w:rPr>
      </w:pPr>
      <w:bookmarkStart w:id="30" w:name="TI024011.150"/>
      <w:bookmarkStart w:id="31" w:name="TI024011.200"/>
      <w:bookmarkEnd w:id="30"/>
      <w:bookmarkEnd w:id="31"/>
      <w:r w:rsidRPr="003B1D84">
        <w:rPr>
          <w:rFonts w:eastAsia="Times New Roman" w:cs="Times New Roman"/>
          <w:sz w:val="24"/>
          <w:szCs w:val="24"/>
        </w:rPr>
        <w:t xml:space="preserve">Neutropenia </w:t>
      </w: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2"/>
              </w:numPr>
              <w:bidi w:val="0"/>
              <w:spacing w:before="100" w:beforeAutospacing="1" w:after="100" w:afterAutospacing="1" w:line="240" w:lineRule="auto"/>
              <w:rPr>
                <w:rFonts w:eastAsia="Times New Roman" w:cs="Times New Roman"/>
                <w:sz w:val="24"/>
                <w:szCs w:val="24"/>
              </w:rPr>
            </w:pPr>
            <w:bookmarkStart w:id="32" w:name="P024097"/>
            <w:bookmarkEnd w:id="32"/>
            <w:r w:rsidRPr="003B1D84">
              <w:rPr>
                <w:rFonts w:eastAsia="Times New Roman" w:cs="Times New Roman"/>
                <w:sz w:val="24"/>
                <w:szCs w:val="24"/>
              </w:rPr>
              <w:t xml:space="preserve">Infection: viral, bacterial (e.g. </w:t>
            </w:r>
            <w:r w:rsidRPr="003B1D84">
              <w:rPr>
                <w:rFonts w:eastAsia="Times New Roman" w:cs="Times New Roman"/>
                <w:i/>
                <w:iCs/>
                <w:sz w:val="24"/>
                <w:szCs w:val="24"/>
              </w:rPr>
              <w:t>Salmonella</w:t>
            </w:r>
            <w:r w:rsidRPr="003B1D84">
              <w:rPr>
                <w:rFonts w:eastAsia="Times New Roman" w:cs="Times New Roman"/>
                <w:sz w:val="24"/>
                <w:szCs w:val="24"/>
              </w:rPr>
              <w:t xml:space="preserve">), protozoal (e.g. malaria) </w:t>
            </w:r>
          </w:p>
          <w:p w:rsidR="00F753B9" w:rsidRPr="003B1D84" w:rsidRDefault="00F753B9" w:rsidP="00F753B9">
            <w:pPr>
              <w:numPr>
                <w:ilvl w:val="0"/>
                <w:numId w:val="2"/>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Drugs: </w:t>
            </w:r>
          </w:p>
          <w:p w:rsidR="00F753B9" w:rsidRPr="003B1D84" w:rsidRDefault="00F753B9" w:rsidP="00F753B9">
            <w:pPr>
              <w:numPr>
                <w:ilvl w:val="0"/>
                <w:numId w:val="2"/>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Autoimmune: connective tissue disease </w:t>
            </w:r>
          </w:p>
          <w:p w:rsidR="00F753B9" w:rsidRPr="003B1D84" w:rsidRDefault="00F753B9" w:rsidP="00F753B9">
            <w:pPr>
              <w:numPr>
                <w:ilvl w:val="0"/>
                <w:numId w:val="2"/>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Alcohol </w:t>
            </w:r>
          </w:p>
          <w:p w:rsidR="00F753B9" w:rsidRPr="003B1D84" w:rsidRDefault="00F753B9" w:rsidP="00F753B9">
            <w:pPr>
              <w:numPr>
                <w:ilvl w:val="0"/>
                <w:numId w:val="2"/>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Bone marrow infiltration: leukaemia, myelodysplasia </w:t>
            </w:r>
          </w:p>
          <w:p w:rsidR="00F753B9" w:rsidRPr="003B1D84" w:rsidRDefault="00F753B9" w:rsidP="00FD15B0">
            <w:pPr>
              <w:numPr>
                <w:ilvl w:val="0"/>
                <w:numId w:val="2"/>
              </w:numPr>
              <w:bidi w:val="0"/>
              <w:spacing w:before="100" w:beforeAutospacing="1" w:after="100" w:afterAutospacing="1" w:line="240" w:lineRule="auto"/>
              <w:rPr>
                <w:rFonts w:eastAsia="Times New Roman" w:cs="Times New Roman"/>
                <w:vanish/>
                <w:sz w:val="24"/>
                <w:szCs w:val="24"/>
              </w:rPr>
            </w:pPr>
          </w:p>
          <w:tbl>
            <w:tblPr>
              <w:tblW w:w="4057" w:type="pct"/>
              <w:jc w:val="center"/>
              <w:tblCellSpacing w:w="0" w:type="dxa"/>
              <w:tblCellMar>
                <w:left w:w="0" w:type="dxa"/>
                <w:right w:w="0" w:type="dxa"/>
              </w:tblCellMar>
              <w:tblLook w:val="04A0"/>
            </w:tblPr>
            <w:tblGrid>
              <w:gridCol w:w="5392"/>
            </w:tblGrid>
            <w:tr w:rsidR="00F753B9" w:rsidRPr="003B1D84" w:rsidTr="00FD15B0">
              <w:trPr>
                <w:tblCellSpacing w:w="0" w:type="dxa"/>
                <w:jc w:val="center"/>
              </w:trPr>
              <w:tc>
                <w:tcPr>
                  <w:tcW w:w="5000" w:type="pct"/>
                  <w:vAlign w:val="center"/>
                  <w:hideMark/>
                </w:tcPr>
                <w:p w:rsidR="00FD15B0" w:rsidRPr="003B1D84" w:rsidRDefault="00FD15B0" w:rsidP="00F753B9">
                  <w:pPr>
                    <w:bidi w:val="0"/>
                    <w:spacing w:after="0" w:line="240" w:lineRule="auto"/>
                    <w:rPr>
                      <w:rFonts w:eastAsia="Times New Roman" w:cs="Times New Roman"/>
                      <w:sz w:val="24"/>
                      <w:szCs w:val="24"/>
                    </w:rPr>
                  </w:pPr>
                  <w:bookmarkStart w:id="33" w:name="B024011"/>
                  <w:bookmarkEnd w:id="33"/>
                </w:p>
                <w:p w:rsidR="00F753B9" w:rsidRPr="003B1D84" w:rsidRDefault="00F753B9" w:rsidP="00FD15B0">
                  <w:pPr>
                    <w:bidi w:val="0"/>
                    <w:spacing w:after="0" w:line="240" w:lineRule="auto"/>
                    <w:rPr>
                      <w:rFonts w:eastAsia="Times New Roman" w:cs="Times New Roman"/>
                      <w:sz w:val="24"/>
                      <w:szCs w:val="24"/>
                    </w:rPr>
                  </w:pPr>
                  <w:r w:rsidRPr="003B1D84">
                    <w:rPr>
                      <w:rFonts w:eastAsia="Times New Roman" w:cs="Times New Roman"/>
                      <w:sz w:val="24"/>
                      <w:szCs w:val="24"/>
                    </w:rPr>
                    <w:t>Drugs which can induce neutropenia</w:t>
                  </w:r>
                </w:p>
              </w:tc>
            </w:tr>
          </w:tbl>
          <w:p w:rsidR="00F753B9" w:rsidRPr="003B1D84" w:rsidRDefault="00F753B9" w:rsidP="00F753B9">
            <w:pPr>
              <w:bidi w:val="0"/>
              <w:spacing w:after="0" w:line="240" w:lineRule="auto"/>
              <w:rPr>
                <w:rFonts w:eastAsia="Times New Roman" w:cs="Times New Roman"/>
                <w:vanish/>
                <w:sz w:val="24"/>
                <w:szCs w:val="24"/>
              </w:rPr>
            </w:pPr>
            <w:bookmarkStart w:id="34" w:name="TI024012"/>
            <w:bookmarkEnd w:id="34"/>
          </w:p>
          <w:tbl>
            <w:tblPr>
              <w:tblW w:w="0" w:type="auto"/>
              <w:jc w:val="center"/>
              <w:tblCellSpacing w:w="0" w:type="dxa"/>
              <w:tblCellMar>
                <w:top w:w="15" w:type="dxa"/>
                <w:left w:w="15" w:type="dxa"/>
                <w:bottom w:w="15" w:type="dxa"/>
                <w:right w:w="15" w:type="dxa"/>
              </w:tblCellMar>
              <w:tblLook w:val="04A0"/>
            </w:tblPr>
            <w:tblGrid>
              <w:gridCol w:w="3329"/>
              <w:gridCol w:w="3316"/>
            </w:tblGrid>
            <w:tr w:rsidR="00F753B9" w:rsidRPr="003B1D84" w:rsidTr="00F753B9">
              <w:trPr>
                <w:tblCellSpacing w:w="0" w:type="dxa"/>
                <w:jc w:val="center"/>
              </w:trPr>
              <w:tc>
                <w:tcPr>
                  <w:tcW w:w="0" w:type="auto"/>
                  <w:vAlign w:val="bottom"/>
                  <w:hideMark/>
                </w:tcPr>
                <w:p w:rsidR="00F753B9" w:rsidRPr="003B1D84" w:rsidRDefault="00F753B9" w:rsidP="00F753B9">
                  <w:pPr>
                    <w:bidi w:val="0"/>
                    <w:spacing w:after="0" w:line="240" w:lineRule="auto"/>
                    <w:rPr>
                      <w:rFonts w:eastAsia="Times New Roman" w:cs="Times New Roman"/>
                      <w:sz w:val="24"/>
                      <w:szCs w:val="24"/>
                    </w:rPr>
                  </w:pPr>
                  <w:bookmarkStart w:id="35" w:name="TI024012.50"/>
                  <w:bookmarkEnd w:id="35"/>
                  <w:r w:rsidRPr="003B1D84">
                    <w:rPr>
                      <w:rFonts w:eastAsia="Times New Roman" w:cs="Times New Roman"/>
                      <w:sz w:val="24"/>
                      <w:szCs w:val="24"/>
                    </w:rPr>
                    <w:t>Group</w:t>
                  </w:r>
                </w:p>
              </w:tc>
              <w:tc>
                <w:tcPr>
                  <w:tcW w:w="0" w:type="auto"/>
                  <w:vAlign w:val="bottom"/>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Examples</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36" w:name="TI024012.100"/>
                  <w:bookmarkEnd w:id="36"/>
                  <w:r w:rsidRPr="003B1D84">
                    <w:rPr>
                      <w:rFonts w:eastAsia="Times New Roman" w:cs="Times New Roman"/>
                      <w:sz w:val="24"/>
                      <w:szCs w:val="24"/>
                    </w:rPr>
                    <w:t>Analgesics/anti-inflammatory agents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Gold, penicillamine, naproxen</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37" w:name="TI024012.150"/>
                  <w:bookmarkEnd w:id="37"/>
                  <w:r w:rsidRPr="003B1D84">
                    <w:rPr>
                      <w:rFonts w:eastAsia="Times New Roman" w:cs="Times New Roman"/>
                      <w:sz w:val="24"/>
                      <w:szCs w:val="24"/>
                    </w:rPr>
                    <w:t>Antithyroid drugs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Carbimazole, propylthiouracil</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38" w:name="TI024012.200"/>
                  <w:bookmarkEnd w:id="38"/>
                  <w:r w:rsidRPr="003B1D84">
                    <w:rPr>
                      <w:rFonts w:eastAsia="Times New Roman" w:cs="Times New Roman"/>
                      <w:sz w:val="24"/>
                      <w:szCs w:val="24"/>
                    </w:rPr>
                    <w:t>Anti-arrhythmics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Quinidine, procainamide</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39" w:name="TI024012.250"/>
                  <w:bookmarkEnd w:id="39"/>
                  <w:r w:rsidRPr="003B1D84">
                    <w:rPr>
                      <w:rFonts w:eastAsia="Times New Roman" w:cs="Times New Roman"/>
                      <w:sz w:val="24"/>
                      <w:szCs w:val="24"/>
                    </w:rPr>
                    <w:t>Antihypertensives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Captopril, enalapril, nifedipine</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40" w:name="TI024012.300"/>
                  <w:bookmarkEnd w:id="40"/>
                  <w:r w:rsidRPr="003B1D84">
                    <w:rPr>
                      <w:rFonts w:eastAsia="Times New Roman" w:cs="Times New Roman"/>
                      <w:sz w:val="24"/>
                      <w:szCs w:val="24"/>
                    </w:rPr>
                    <w:t>Antidepressants/psychotropics</w:t>
                  </w:r>
                </w:p>
              </w:tc>
              <w:tc>
                <w:tcPr>
                  <w:tcW w:w="0" w:type="auto"/>
                  <w:shd w:val="clear" w:color="auto" w:fill="FFFFFF"/>
                  <w:hideMark/>
                </w:tcPr>
                <w:p w:rsidR="00F753B9" w:rsidRPr="003B1D84" w:rsidRDefault="00F753B9" w:rsidP="00943622">
                  <w:pPr>
                    <w:bidi w:val="0"/>
                    <w:spacing w:after="0" w:line="240" w:lineRule="auto"/>
                    <w:rPr>
                      <w:rFonts w:eastAsia="Times New Roman" w:cs="Times New Roman"/>
                      <w:sz w:val="24"/>
                      <w:szCs w:val="24"/>
                    </w:rPr>
                  </w:pPr>
                  <w:r w:rsidRPr="003B1D84">
                    <w:rPr>
                      <w:rFonts w:eastAsia="Times New Roman" w:cs="Times New Roman"/>
                      <w:sz w:val="24"/>
                      <w:szCs w:val="24"/>
                    </w:rPr>
                    <w:t>Amitriptyline, , mianserin</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41" w:name="TI024012.350"/>
                  <w:bookmarkEnd w:id="41"/>
                  <w:r w:rsidRPr="003B1D84">
                    <w:rPr>
                      <w:rFonts w:eastAsia="Times New Roman" w:cs="Times New Roman"/>
                      <w:sz w:val="24"/>
                      <w:szCs w:val="24"/>
                    </w:rPr>
                    <w:t>Antimalarials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Pyrimethamine, dapsone, sulfadoxine, chloroquine</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42" w:name="TI024012.400"/>
                  <w:bookmarkEnd w:id="42"/>
                  <w:r w:rsidRPr="003B1D84">
                    <w:rPr>
                      <w:rFonts w:eastAsia="Times New Roman" w:cs="Times New Roman"/>
                      <w:sz w:val="24"/>
                      <w:szCs w:val="24"/>
                    </w:rPr>
                    <w:t>Anticonvulsants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Phenytoin, sodium valproate, carbamazepine</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43" w:name="TI024012.450"/>
                  <w:bookmarkEnd w:id="43"/>
                  <w:r w:rsidRPr="003B1D84">
                    <w:rPr>
                      <w:rFonts w:eastAsia="Times New Roman" w:cs="Times New Roman"/>
                      <w:sz w:val="24"/>
                      <w:szCs w:val="24"/>
                    </w:rPr>
                    <w:t>Antibiotics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Sulphonamides, penicillins, cephalosporins</w:t>
                  </w:r>
                </w:p>
              </w:tc>
            </w:tr>
            <w:tr w:rsidR="00F753B9" w:rsidRPr="003B1D84" w:rsidTr="00F753B9">
              <w:trPr>
                <w:tblCellSpacing w:w="0" w:type="dxa"/>
                <w:jc w:val="center"/>
              </w:trPr>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bookmarkStart w:id="44" w:name="TI024012.500"/>
                  <w:bookmarkEnd w:id="44"/>
                  <w:r w:rsidRPr="003B1D84">
                    <w:rPr>
                      <w:rFonts w:eastAsia="Times New Roman" w:cs="Times New Roman"/>
                      <w:sz w:val="24"/>
                      <w:szCs w:val="24"/>
                    </w:rPr>
                    <w:t>Miscellaneous</w:t>
                  </w:r>
                </w:p>
              </w:tc>
              <w:tc>
                <w:tcPr>
                  <w:tcW w:w="0" w:type="auto"/>
                  <w:shd w:val="clear" w:color="auto" w:fill="FFFFFF"/>
                  <w:hideMark/>
                </w:tcPr>
                <w:p w:rsidR="00F753B9" w:rsidRPr="003B1D84" w:rsidRDefault="00F753B9" w:rsidP="00F753B9">
                  <w:pPr>
                    <w:bidi w:val="0"/>
                    <w:spacing w:after="0" w:line="240" w:lineRule="auto"/>
                    <w:rPr>
                      <w:rFonts w:eastAsia="Times New Roman" w:cs="Times New Roman"/>
                      <w:sz w:val="24"/>
                      <w:szCs w:val="24"/>
                    </w:rPr>
                  </w:pPr>
                  <w:r w:rsidRPr="003B1D84">
                    <w:rPr>
                      <w:rFonts w:eastAsia="Times New Roman" w:cs="Times New Roman"/>
                      <w:sz w:val="24"/>
                      <w:szCs w:val="24"/>
                    </w:rPr>
                    <w:t>Cimetidine, ranitidine, chlorpropamide, zidovudine</w:t>
                  </w:r>
                </w:p>
              </w:tc>
            </w:tr>
          </w:tbl>
          <w:p w:rsidR="00F753B9" w:rsidRPr="003B1D84" w:rsidRDefault="00F753B9" w:rsidP="00943622">
            <w:pPr>
              <w:bidi w:val="0"/>
              <w:spacing w:before="100" w:beforeAutospacing="1" w:after="100" w:afterAutospacing="1" w:line="240" w:lineRule="auto"/>
              <w:rPr>
                <w:rFonts w:eastAsia="Times New Roman" w:cs="Times New Roman"/>
                <w:sz w:val="24"/>
                <w:szCs w:val="24"/>
              </w:rPr>
            </w:pPr>
          </w:p>
          <w:p w:rsidR="00F753B9" w:rsidRPr="003B1D84" w:rsidRDefault="00F753B9" w:rsidP="00F753B9">
            <w:pPr>
              <w:bidi w:val="0"/>
              <w:spacing w:before="100" w:beforeAutospacing="1" w:after="100" w:afterAutospacing="1" w:line="240" w:lineRule="auto"/>
              <w:ind w:left="720"/>
              <w:rPr>
                <w:rFonts w:eastAsia="Times New Roman" w:cs="Times New Roman"/>
                <w:sz w:val="24"/>
                <w:szCs w:val="24"/>
              </w:rPr>
            </w:pP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rsidTr="00F753B9">
        <w:trPr>
          <w:tblCellSpacing w:w="0" w:type="dxa"/>
        </w:trPr>
        <w:tc>
          <w:tcPr>
            <w:tcW w:w="5000" w:type="pct"/>
            <w:vAlign w:val="center"/>
            <w:hideMark/>
          </w:tcPr>
          <w:p w:rsidR="00F753B9" w:rsidRPr="003B1D84" w:rsidRDefault="005F2B73" w:rsidP="00F753B9">
            <w:pPr>
              <w:bidi w:val="0"/>
              <w:spacing w:after="0" w:line="240" w:lineRule="auto"/>
              <w:rPr>
                <w:rFonts w:eastAsia="Times New Roman" w:cs="Times New Roman"/>
                <w:sz w:val="24"/>
                <w:szCs w:val="24"/>
              </w:rPr>
            </w:pPr>
            <w:r w:rsidRPr="005F2B73">
              <w:rPr>
                <w:rFonts w:eastAsia="Times New Roman" w:cs="Times New Roman"/>
                <w:sz w:val="24"/>
                <w:szCs w:val="24"/>
              </w:rPr>
              <w:pict>
                <v:shape id="_x0000_i1026" type="#_x0000_t75" alt="" style="width:.5pt;height:7.5pt"/>
              </w:pict>
            </w:r>
          </w:p>
        </w:tc>
      </w:tr>
    </w:tbl>
    <w:p w:rsidR="00F753B9" w:rsidRPr="003B1D84" w:rsidRDefault="00F753B9" w:rsidP="00F753B9">
      <w:pPr>
        <w:bidi w:val="0"/>
        <w:spacing w:after="0" w:line="240" w:lineRule="auto"/>
        <w:rPr>
          <w:rFonts w:eastAsia="Times New Roman" w:cs="Times New Roman"/>
          <w:sz w:val="24"/>
          <w:szCs w:val="24"/>
        </w:rPr>
      </w:pPr>
      <w:bookmarkStart w:id="45" w:name="TI024011.250"/>
      <w:bookmarkStart w:id="46" w:name="TI024011.300"/>
      <w:bookmarkEnd w:id="45"/>
      <w:bookmarkEnd w:id="46"/>
      <w:r w:rsidRPr="003B1D84">
        <w:rPr>
          <w:rFonts w:eastAsia="Times New Roman" w:cs="Times New Roman"/>
          <w:sz w:val="24"/>
          <w:szCs w:val="24"/>
        </w:rPr>
        <w:t xml:space="preserve">Eosinophils </w:t>
      </w:r>
      <w:r w:rsidRPr="003B1D84">
        <w:rPr>
          <w:rFonts w:eastAsia="Times New Roman" w:cs="Times New Roman"/>
          <w:sz w:val="24"/>
          <w:szCs w:val="24"/>
        </w:rPr>
        <w:br/>
      </w:r>
      <w:r w:rsidR="005F2B73" w:rsidRPr="005F2B73">
        <w:rPr>
          <w:rFonts w:eastAsia="Times New Roman" w:cs="Times New Roman"/>
          <w:sz w:val="24"/>
          <w:szCs w:val="24"/>
        </w:rPr>
        <w:pict>
          <v:shape id="_x0000_i1027" type="#_x0000_t75" alt="" style="width:24pt;height:24pt"/>
        </w:pict>
      </w:r>
      <w:bookmarkStart w:id="47" w:name="TI024011.350"/>
      <w:bookmarkEnd w:id="47"/>
      <w:r w:rsidRPr="003B1D84">
        <w:rPr>
          <w:rFonts w:eastAsia="Times New Roman" w:cs="Times New Roman"/>
          <w:sz w:val="24"/>
          <w:szCs w:val="24"/>
        </w:rPr>
        <w:t xml:space="preserve">Eosinophilia </w:t>
      </w: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3"/>
              </w:numPr>
              <w:bidi w:val="0"/>
              <w:spacing w:before="100" w:beforeAutospacing="1" w:after="100" w:afterAutospacing="1" w:line="240" w:lineRule="auto"/>
              <w:rPr>
                <w:rFonts w:eastAsia="Times New Roman" w:cs="Times New Roman"/>
                <w:sz w:val="24"/>
                <w:szCs w:val="24"/>
              </w:rPr>
            </w:pPr>
            <w:bookmarkStart w:id="48" w:name="P024098"/>
            <w:bookmarkEnd w:id="48"/>
            <w:r w:rsidRPr="003B1D84">
              <w:rPr>
                <w:rFonts w:eastAsia="Times New Roman" w:cs="Times New Roman"/>
                <w:sz w:val="24"/>
                <w:szCs w:val="24"/>
              </w:rPr>
              <w:t xml:space="preserve">Allergy: hay fever, asthma, eczema </w:t>
            </w:r>
            <w:r w:rsidR="00700A94">
              <w:rPr>
                <w:rFonts w:eastAsia="Times New Roman" w:cs="Times New Roman"/>
                <w:sz w:val="24"/>
                <w:szCs w:val="24"/>
              </w:rPr>
              <w:t>,ABPA</w:t>
            </w:r>
          </w:p>
          <w:p w:rsidR="00F753B9" w:rsidRPr="003B1D84" w:rsidRDefault="00F753B9" w:rsidP="00700A94">
            <w:pPr>
              <w:numPr>
                <w:ilvl w:val="0"/>
                <w:numId w:val="3"/>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Infection: parasitic </w:t>
            </w:r>
            <w:r w:rsidR="00700A94">
              <w:rPr>
                <w:rFonts w:eastAsia="Times New Roman" w:cs="Times New Roman"/>
                <w:sz w:val="24"/>
                <w:szCs w:val="24"/>
              </w:rPr>
              <w:t>=schistosomiasis,nematode=ascaris,stongyloidosis</w:t>
            </w:r>
          </w:p>
          <w:p w:rsidR="00F753B9" w:rsidRPr="003B1D84" w:rsidRDefault="00F753B9" w:rsidP="00F753B9">
            <w:pPr>
              <w:numPr>
                <w:ilvl w:val="0"/>
                <w:numId w:val="3"/>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Drug hypersensitivity: e.g. gold, sulphonamides</w:t>
            </w:r>
            <w:r w:rsidR="00700A94">
              <w:rPr>
                <w:rFonts w:eastAsia="Times New Roman" w:cs="Times New Roman"/>
                <w:sz w:val="24"/>
                <w:szCs w:val="24"/>
              </w:rPr>
              <w:t>.nitrofurntoin</w:t>
            </w:r>
            <w:r w:rsidRPr="003B1D84">
              <w:rPr>
                <w:rFonts w:eastAsia="Times New Roman" w:cs="Times New Roman"/>
                <w:sz w:val="24"/>
                <w:szCs w:val="24"/>
              </w:rPr>
              <w:t xml:space="preserve"> </w:t>
            </w:r>
          </w:p>
          <w:p w:rsidR="00F753B9" w:rsidRPr="003B1D84" w:rsidRDefault="00F753B9" w:rsidP="00F753B9">
            <w:pPr>
              <w:numPr>
                <w:ilvl w:val="0"/>
                <w:numId w:val="3"/>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Skin disease </w:t>
            </w:r>
            <w:r w:rsidR="00700A94">
              <w:rPr>
                <w:rFonts w:eastAsia="Times New Roman" w:cs="Times New Roman"/>
                <w:sz w:val="24"/>
                <w:szCs w:val="24"/>
              </w:rPr>
              <w:t>–psoriasis ,eczyma</w:t>
            </w:r>
          </w:p>
          <w:p w:rsidR="00F753B9" w:rsidRPr="003B1D84" w:rsidRDefault="00F753B9" w:rsidP="00F753B9">
            <w:pPr>
              <w:numPr>
                <w:ilvl w:val="0"/>
                <w:numId w:val="3"/>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Connective tissue disease: polyarteritis nodosa</w:t>
            </w:r>
            <w:r w:rsidR="00700A94">
              <w:rPr>
                <w:rFonts w:eastAsia="Times New Roman" w:cs="Times New Roman"/>
                <w:sz w:val="24"/>
                <w:szCs w:val="24"/>
              </w:rPr>
              <w:t>.Churg-strauss syndrome</w:t>
            </w:r>
            <w:r w:rsidRPr="003B1D84">
              <w:rPr>
                <w:rFonts w:eastAsia="Times New Roman" w:cs="Times New Roman"/>
                <w:sz w:val="24"/>
                <w:szCs w:val="24"/>
              </w:rPr>
              <w:t xml:space="preserve"> </w:t>
            </w:r>
          </w:p>
          <w:p w:rsidR="00F753B9" w:rsidRPr="003B1D84" w:rsidRDefault="00F753B9" w:rsidP="00F753B9">
            <w:pPr>
              <w:numPr>
                <w:ilvl w:val="0"/>
                <w:numId w:val="3"/>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Malignancy: solid tumours, lymphomas </w:t>
            </w:r>
          </w:p>
          <w:p w:rsidR="00F753B9" w:rsidRPr="003B1D84" w:rsidRDefault="00F753B9" w:rsidP="00F753B9">
            <w:pPr>
              <w:numPr>
                <w:ilvl w:val="0"/>
                <w:numId w:val="3"/>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Primary bone marrow disorders: myeloproliferative disorders, hypereosinophilia syndrome (HES), acute myeloid leukaemia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rsidTr="00F753B9">
        <w:trPr>
          <w:tblCellSpacing w:w="0" w:type="dxa"/>
        </w:trPr>
        <w:tc>
          <w:tcPr>
            <w:tcW w:w="5000" w:type="pct"/>
            <w:vAlign w:val="center"/>
            <w:hideMark/>
          </w:tcPr>
          <w:p w:rsidR="00F753B9" w:rsidRPr="003B1D84" w:rsidRDefault="005F2B73" w:rsidP="00F753B9">
            <w:pPr>
              <w:bidi w:val="0"/>
              <w:spacing w:after="0" w:line="240" w:lineRule="auto"/>
              <w:rPr>
                <w:rFonts w:eastAsia="Times New Roman" w:cs="Times New Roman"/>
                <w:sz w:val="24"/>
                <w:szCs w:val="24"/>
              </w:rPr>
            </w:pPr>
            <w:r w:rsidRPr="005F2B73">
              <w:rPr>
                <w:rFonts w:eastAsia="Times New Roman" w:cs="Times New Roman"/>
                <w:sz w:val="24"/>
                <w:szCs w:val="24"/>
              </w:rPr>
              <w:pict>
                <v:shape id="_x0000_i1028" type="#_x0000_t75" alt="" style="width:.5pt;height:7.5pt"/>
              </w:pict>
            </w:r>
          </w:p>
        </w:tc>
      </w:tr>
    </w:tbl>
    <w:p w:rsidR="00F753B9" w:rsidRPr="003B1D84" w:rsidRDefault="00F753B9" w:rsidP="00F753B9">
      <w:pPr>
        <w:bidi w:val="0"/>
        <w:spacing w:after="0" w:line="240" w:lineRule="auto"/>
        <w:rPr>
          <w:rFonts w:eastAsia="Times New Roman" w:cs="Times New Roman"/>
          <w:sz w:val="24"/>
          <w:szCs w:val="24"/>
        </w:rPr>
      </w:pPr>
      <w:bookmarkStart w:id="49" w:name="TI024011.400"/>
      <w:bookmarkStart w:id="50" w:name="TI024011.450"/>
      <w:bookmarkEnd w:id="49"/>
      <w:bookmarkEnd w:id="50"/>
      <w:r w:rsidRPr="003B1D84">
        <w:rPr>
          <w:rFonts w:eastAsia="Times New Roman" w:cs="Times New Roman"/>
          <w:sz w:val="24"/>
          <w:szCs w:val="24"/>
        </w:rPr>
        <w:t xml:space="preserve">Basophils </w:t>
      </w:r>
      <w:r w:rsidRPr="003B1D84">
        <w:rPr>
          <w:rFonts w:eastAsia="Times New Roman" w:cs="Times New Roman"/>
          <w:sz w:val="24"/>
          <w:szCs w:val="24"/>
        </w:rPr>
        <w:br/>
      </w:r>
      <w:r w:rsidR="005F2B73" w:rsidRPr="005F2B73">
        <w:rPr>
          <w:rFonts w:eastAsia="Times New Roman" w:cs="Times New Roman"/>
          <w:sz w:val="24"/>
          <w:szCs w:val="24"/>
        </w:rPr>
        <w:pict>
          <v:shape id="_x0000_i1029" type="#_x0000_t75" alt="" style="width:24pt;height:24pt"/>
        </w:pict>
      </w:r>
      <w:bookmarkStart w:id="51" w:name="TI024011.500"/>
      <w:bookmarkEnd w:id="51"/>
      <w:r w:rsidRPr="003B1D84">
        <w:rPr>
          <w:rFonts w:eastAsia="Times New Roman" w:cs="Times New Roman"/>
          <w:sz w:val="24"/>
          <w:szCs w:val="24"/>
        </w:rPr>
        <w:t xml:space="preserve">Basophilia </w:t>
      </w: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4"/>
              </w:numPr>
              <w:bidi w:val="0"/>
              <w:spacing w:before="100" w:beforeAutospacing="1" w:after="100" w:afterAutospacing="1" w:line="240" w:lineRule="auto"/>
              <w:rPr>
                <w:rFonts w:eastAsia="Times New Roman" w:cs="Times New Roman"/>
                <w:sz w:val="24"/>
                <w:szCs w:val="24"/>
              </w:rPr>
            </w:pPr>
            <w:bookmarkStart w:id="52" w:name="P024099"/>
            <w:bookmarkEnd w:id="52"/>
            <w:r w:rsidRPr="003B1D84">
              <w:rPr>
                <w:rFonts w:eastAsia="Times New Roman" w:cs="Times New Roman"/>
                <w:sz w:val="24"/>
                <w:szCs w:val="24"/>
              </w:rPr>
              <w:t xml:space="preserve">Myeloproliferative disease: polycythaemia, chronic myeloid leukaemia </w:t>
            </w:r>
          </w:p>
          <w:p w:rsidR="00F753B9" w:rsidRPr="003B1D84" w:rsidRDefault="00F753B9" w:rsidP="00F753B9">
            <w:pPr>
              <w:numPr>
                <w:ilvl w:val="0"/>
                <w:numId w:val="4"/>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Inflammation: acute hypersensitivity, ulcerative colitis, Crohn's disease </w:t>
            </w:r>
          </w:p>
          <w:p w:rsidR="00F753B9" w:rsidRPr="003B1D84" w:rsidRDefault="00F753B9" w:rsidP="00F753B9">
            <w:pPr>
              <w:numPr>
                <w:ilvl w:val="0"/>
                <w:numId w:val="4"/>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Iron deficiency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rsidTr="00F753B9">
        <w:trPr>
          <w:tblCellSpacing w:w="0" w:type="dxa"/>
        </w:trPr>
        <w:tc>
          <w:tcPr>
            <w:tcW w:w="5000" w:type="pct"/>
            <w:vAlign w:val="center"/>
            <w:hideMark/>
          </w:tcPr>
          <w:p w:rsidR="00F753B9" w:rsidRPr="003B1D84" w:rsidRDefault="005F2B73" w:rsidP="00F753B9">
            <w:pPr>
              <w:bidi w:val="0"/>
              <w:spacing w:after="0" w:line="240" w:lineRule="auto"/>
              <w:rPr>
                <w:rFonts w:eastAsia="Times New Roman" w:cs="Times New Roman"/>
                <w:sz w:val="24"/>
                <w:szCs w:val="24"/>
              </w:rPr>
            </w:pPr>
            <w:r w:rsidRPr="005F2B73">
              <w:rPr>
                <w:rFonts w:eastAsia="Times New Roman" w:cs="Times New Roman"/>
                <w:sz w:val="24"/>
                <w:szCs w:val="24"/>
              </w:rPr>
              <w:pict>
                <v:shape id="_x0000_i1030" type="#_x0000_t75" alt="" style="width:.5pt;height:7.5pt"/>
              </w:pict>
            </w:r>
          </w:p>
        </w:tc>
      </w:tr>
    </w:tbl>
    <w:p w:rsidR="00F753B9" w:rsidRPr="003B1D84" w:rsidRDefault="00F753B9" w:rsidP="00F753B9">
      <w:pPr>
        <w:bidi w:val="0"/>
        <w:spacing w:after="0" w:line="240" w:lineRule="auto"/>
        <w:rPr>
          <w:rFonts w:eastAsia="Times New Roman" w:cs="Times New Roman"/>
          <w:sz w:val="24"/>
          <w:szCs w:val="24"/>
        </w:rPr>
      </w:pPr>
      <w:bookmarkStart w:id="53" w:name="TI024011.550"/>
      <w:bookmarkStart w:id="54" w:name="TI024011.600"/>
      <w:bookmarkEnd w:id="53"/>
      <w:bookmarkEnd w:id="54"/>
      <w:r w:rsidRPr="003B1D84">
        <w:rPr>
          <w:rFonts w:eastAsia="Times New Roman" w:cs="Times New Roman"/>
          <w:sz w:val="24"/>
          <w:szCs w:val="24"/>
        </w:rPr>
        <w:t xml:space="preserve">Monocytes </w:t>
      </w:r>
      <w:r w:rsidRPr="003B1D84">
        <w:rPr>
          <w:rFonts w:eastAsia="Times New Roman" w:cs="Times New Roman"/>
          <w:sz w:val="24"/>
          <w:szCs w:val="24"/>
        </w:rPr>
        <w:br/>
      </w:r>
      <w:r w:rsidR="005F2B73" w:rsidRPr="005F2B73">
        <w:rPr>
          <w:rFonts w:eastAsia="Times New Roman" w:cs="Times New Roman"/>
          <w:sz w:val="24"/>
          <w:szCs w:val="24"/>
        </w:rPr>
        <w:pict>
          <v:shape id="_x0000_i1031" type="#_x0000_t75" alt="" style="width:24pt;height:24pt"/>
        </w:pict>
      </w:r>
      <w:bookmarkStart w:id="55" w:name="TI024011.650"/>
      <w:bookmarkEnd w:id="55"/>
      <w:r w:rsidRPr="003B1D84">
        <w:rPr>
          <w:rFonts w:eastAsia="Times New Roman" w:cs="Times New Roman"/>
          <w:sz w:val="24"/>
          <w:szCs w:val="24"/>
        </w:rPr>
        <w:t xml:space="preserve">Monocytosis </w:t>
      </w: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5"/>
              </w:numPr>
              <w:bidi w:val="0"/>
              <w:spacing w:before="100" w:beforeAutospacing="1" w:after="100" w:afterAutospacing="1" w:line="240" w:lineRule="auto"/>
              <w:rPr>
                <w:rFonts w:eastAsia="Times New Roman" w:cs="Times New Roman"/>
                <w:sz w:val="24"/>
                <w:szCs w:val="24"/>
              </w:rPr>
            </w:pPr>
            <w:bookmarkStart w:id="56" w:name="P024100"/>
            <w:bookmarkEnd w:id="56"/>
            <w:r w:rsidRPr="003B1D84">
              <w:rPr>
                <w:rFonts w:eastAsia="Times New Roman" w:cs="Times New Roman"/>
                <w:sz w:val="24"/>
                <w:szCs w:val="24"/>
              </w:rPr>
              <w:t xml:space="preserve">Infection: bacterial (e.g. tuberculosis) </w:t>
            </w:r>
          </w:p>
          <w:p w:rsidR="00F753B9" w:rsidRPr="003B1D84" w:rsidRDefault="00F753B9" w:rsidP="00F753B9">
            <w:pPr>
              <w:numPr>
                <w:ilvl w:val="0"/>
                <w:numId w:val="5"/>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Inflammation: connective tissue disease, ulcerative colitis, Crohn's disease </w:t>
            </w:r>
          </w:p>
          <w:p w:rsidR="00F753B9" w:rsidRPr="003B1D84" w:rsidRDefault="00F753B9" w:rsidP="00F753B9">
            <w:pPr>
              <w:numPr>
                <w:ilvl w:val="0"/>
                <w:numId w:val="5"/>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Malignancy: solid tumours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rsidTr="00F753B9">
        <w:trPr>
          <w:tblCellSpacing w:w="0" w:type="dxa"/>
        </w:trPr>
        <w:tc>
          <w:tcPr>
            <w:tcW w:w="5000" w:type="pct"/>
            <w:vAlign w:val="center"/>
            <w:hideMark/>
          </w:tcPr>
          <w:p w:rsidR="00F753B9" w:rsidRPr="003B1D84" w:rsidRDefault="005F2B73" w:rsidP="00F753B9">
            <w:pPr>
              <w:bidi w:val="0"/>
              <w:spacing w:after="0" w:line="240" w:lineRule="auto"/>
              <w:rPr>
                <w:rFonts w:eastAsia="Times New Roman" w:cs="Times New Roman"/>
                <w:sz w:val="24"/>
                <w:szCs w:val="24"/>
              </w:rPr>
            </w:pPr>
            <w:r w:rsidRPr="005F2B73">
              <w:rPr>
                <w:rFonts w:eastAsia="Times New Roman" w:cs="Times New Roman"/>
                <w:sz w:val="24"/>
                <w:szCs w:val="24"/>
              </w:rPr>
              <w:pict>
                <v:shape id="_x0000_i1032" type="#_x0000_t75" alt="" style="width:.5pt;height:7.5pt"/>
              </w:pict>
            </w:r>
          </w:p>
        </w:tc>
      </w:tr>
    </w:tbl>
    <w:p w:rsidR="00F753B9" w:rsidRPr="003B1D84" w:rsidRDefault="00F753B9" w:rsidP="00F753B9">
      <w:pPr>
        <w:bidi w:val="0"/>
        <w:spacing w:after="0" w:line="240" w:lineRule="auto"/>
        <w:rPr>
          <w:rFonts w:eastAsia="Times New Roman" w:cs="Times New Roman"/>
          <w:sz w:val="24"/>
          <w:szCs w:val="24"/>
        </w:rPr>
      </w:pPr>
      <w:bookmarkStart w:id="57" w:name="TI024011.700"/>
      <w:bookmarkStart w:id="58" w:name="TI024011.750"/>
      <w:bookmarkEnd w:id="57"/>
      <w:bookmarkEnd w:id="58"/>
      <w:r w:rsidRPr="003B1D84">
        <w:rPr>
          <w:rFonts w:eastAsia="Times New Roman" w:cs="Times New Roman"/>
          <w:sz w:val="24"/>
          <w:szCs w:val="24"/>
        </w:rPr>
        <w:t xml:space="preserve">Lymphocytes </w:t>
      </w:r>
      <w:r w:rsidRPr="003B1D84">
        <w:rPr>
          <w:rFonts w:eastAsia="Times New Roman" w:cs="Times New Roman"/>
          <w:sz w:val="24"/>
          <w:szCs w:val="24"/>
        </w:rPr>
        <w:br/>
      </w:r>
      <w:r w:rsidR="005F2B73" w:rsidRPr="005F2B73">
        <w:rPr>
          <w:rFonts w:eastAsia="Times New Roman" w:cs="Times New Roman"/>
          <w:sz w:val="24"/>
          <w:szCs w:val="24"/>
        </w:rPr>
        <w:pict>
          <v:shape id="_x0000_i1033" type="#_x0000_t75" alt="" style="width:24pt;height:24pt"/>
        </w:pict>
      </w:r>
      <w:bookmarkStart w:id="59" w:name="TI024011.800"/>
      <w:bookmarkEnd w:id="59"/>
      <w:r w:rsidRPr="003B1D84">
        <w:rPr>
          <w:rFonts w:eastAsia="Times New Roman" w:cs="Times New Roman"/>
          <w:sz w:val="24"/>
          <w:szCs w:val="24"/>
        </w:rPr>
        <w:t xml:space="preserve">Lymphocytosis </w:t>
      </w: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6"/>
              </w:numPr>
              <w:bidi w:val="0"/>
              <w:spacing w:before="100" w:beforeAutospacing="1" w:after="100" w:afterAutospacing="1" w:line="240" w:lineRule="auto"/>
              <w:rPr>
                <w:rFonts w:eastAsia="Times New Roman" w:cs="Times New Roman"/>
                <w:sz w:val="24"/>
                <w:szCs w:val="24"/>
              </w:rPr>
            </w:pPr>
            <w:bookmarkStart w:id="60" w:name="P024101"/>
            <w:bookmarkEnd w:id="60"/>
            <w:r w:rsidRPr="003B1D84">
              <w:rPr>
                <w:rFonts w:eastAsia="Times New Roman" w:cs="Times New Roman"/>
                <w:sz w:val="24"/>
                <w:szCs w:val="24"/>
              </w:rPr>
              <w:t xml:space="preserve">Infection: viral, bacterial (e.g. </w:t>
            </w:r>
            <w:r w:rsidRPr="003B1D84">
              <w:rPr>
                <w:rFonts w:eastAsia="Times New Roman" w:cs="Times New Roman"/>
                <w:i/>
                <w:iCs/>
                <w:sz w:val="24"/>
                <w:szCs w:val="24"/>
              </w:rPr>
              <w:t>Bordetella pertussis</w:t>
            </w:r>
            <w:r w:rsidRPr="003B1D84">
              <w:rPr>
                <w:rFonts w:eastAsia="Times New Roman" w:cs="Times New Roman"/>
                <w:sz w:val="24"/>
                <w:szCs w:val="24"/>
              </w:rPr>
              <w:t xml:space="preserve">) </w:t>
            </w:r>
          </w:p>
          <w:p w:rsidR="00F753B9" w:rsidRPr="003B1D84" w:rsidRDefault="00F753B9" w:rsidP="00F753B9">
            <w:pPr>
              <w:numPr>
                <w:ilvl w:val="0"/>
                <w:numId w:val="6"/>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Lymphoproliferative disease: chronic lymphocytic leukaemia</w:t>
            </w:r>
            <w:r w:rsidR="00943622" w:rsidRPr="003B1D84">
              <w:rPr>
                <w:rFonts w:eastAsia="Times New Roman" w:cs="Times New Roman"/>
                <w:sz w:val="24"/>
                <w:szCs w:val="24"/>
              </w:rPr>
              <w:t xml:space="preserve"> (CLL)</w:t>
            </w:r>
            <w:r w:rsidRPr="003B1D84">
              <w:rPr>
                <w:rFonts w:eastAsia="Times New Roman" w:cs="Times New Roman"/>
                <w:sz w:val="24"/>
                <w:szCs w:val="24"/>
              </w:rPr>
              <w:t xml:space="preserve">, lymphoma </w:t>
            </w:r>
          </w:p>
          <w:p w:rsidR="00F753B9" w:rsidRPr="003B1D84" w:rsidRDefault="00F753B9" w:rsidP="00F753B9">
            <w:pPr>
              <w:numPr>
                <w:ilvl w:val="0"/>
                <w:numId w:val="6"/>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Post-splenectomy </w:t>
            </w:r>
          </w:p>
        </w:tc>
      </w:tr>
    </w:tbl>
    <w:p w:rsidR="00F753B9" w:rsidRPr="003B1D84" w:rsidRDefault="00F753B9" w:rsidP="00F753B9">
      <w:pPr>
        <w:bidi w:val="0"/>
        <w:spacing w:after="0" w:line="240" w:lineRule="auto"/>
        <w:rPr>
          <w:rFonts w:eastAsia="Times New Roman" w:cs="Times New Roman"/>
          <w:vanish/>
          <w:sz w:val="24"/>
          <w:szCs w:val="24"/>
        </w:rPr>
      </w:pPr>
    </w:p>
    <w:tbl>
      <w:tblPr>
        <w:tblW w:w="5000" w:type="pct"/>
        <w:tblCellSpacing w:w="0" w:type="dxa"/>
        <w:tblCellMar>
          <w:left w:w="0" w:type="dxa"/>
          <w:right w:w="0" w:type="dxa"/>
        </w:tblCellMar>
        <w:tblLook w:val="04A0"/>
      </w:tblPr>
      <w:tblGrid>
        <w:gridCol w:w="8306"/>
      </w:tblGrid>
      <w:tr w:rsidR="00F753B9" w:rsidRPr="003B1D84" w:rsidTr="00F753B9">
        <w:trPr>
          <w:tblCellSpacing w:w="0" w:type="dxa"/>
        </w:trPr>
        <w:tc>
          <w:tcPr>
            <w:tcW w:w="5000" w:type="pct"/>
            <w:vAlign w:val="center"/>
            <w:hideMark/>
          </w:tcPr>
          <w:p w:rsidR="00F753B9" w:rsidRPr="003B1D84" w:rsidRDefault="005F2B73" w:rsidP="00F753B9">
            <w:pPr>
              <w:bidi w:val="0"/>
              <w:spacing w:after="0" w:line="240" w:lineRule="auto"/>
              <w:rPr>
                <w:rFonts w:eastAsia="Times New Roman" w:cs="Times New Roman"/>
                <w:sz w:val="24"/>
                <w:szCs w:val="24"/>
              </w:rPr>
            </w:pPr>
            <w:r w:rsidRPr="005F2B73">
              <w:rPr>
                <w:rFonts w:eastAsia="Times New Roman" w:cs="Times New Roman"/>
                <w:sz w:val="24"/>
                <w:szCs w:val="24"/>
              </w:rPr>
              <w:pict>
                <v:shape id="_x0000_i1034" type="#_x0000_t75" alt="" style="width:.5pt;height:7.5pt"/>
              </w:pict>
            </w:r>
          </w:p>
        </w:tc>
      </w:tr>
    </w:tbl>
    <w:p w:rsidR="00F753B9" w:rsidRPr="003B1D84" w:rsidRDefault="00F753B9" w:rsidP="00F753B9">
      <w:pPr>
        <w:bidi w:val="0"/>
        <w:spacing w:after="0" w:line="240" w:lineRule="auto"/>
        <w:rPr>
          <w:rFonts w:eastAsia="Times New Roman" w:cs="Times New Roman"/>
          <w:sz w:val="24"/>
          <w:szCs w:val="24"/>
        </w:rPr>
      </w:pPr>
      <w:bookmarkStart w:id="61" w:name="TI024011.850"/>
      <w:bookmarkStart w:id="62" w:name="TI024011.900"/>
      <w:bookmarkEnd w:id="61"/>
      <w:bookmarkEnd w:id="62"/>
      <w:r w:rsidRPr="003B1D84">
        <w:rPr>
          <w:rFonts w:eastAsia="Times New Roman" w:cs="Times New Roman"/>
          <w:sz w:val="24"/>
          <w:szCs w:val="24"/>
        </w:rPr>
        <w:t xml:space="preserve">Lymphopenia </w:t>
      </w:r>
    </w:p>
    <w:tbl>
      <w:tblPr>
        <w:tblW w:w="4000" w:type="pct"/>
        <w:jc w:val="center"/>
        <w:tblCellSpacing w:w="0" w:type="dxa"/>
        <w:tblCellMar>
          <w:left w:w="0" w:type="dxa"/>
          <w:right w:w="0" w:type="dxa"/>
        </w:tblCellMar>
        <w:tblLook w:val="04A0"/>
      </w:tblPr>
      <w:tblGrid>
        <w:gridCol w:w="6645"/>
      </w:tblGrid>
      <w:tr w:rsidR="00F753B9" w:rsidRPr="003B1D84" w:rsidTr="00F753B9">
        <w:trPr>
          <w:tblCellSpacing w:w="0" w:type="dxa"/>
          <w:jc w:val="center"/>
        </w:trPr>
        <w:tc>
          <w:tcPr>
            <w:tcW w:w="5000" w:type="pct"/>
            <w:vAlign w:val="center"/>
            <w:hideMark/>
          </w:tcPr>
          <w:p w:rsidR="00F753B9" w:rsidRPr="003B1D84" w:rsidRDefault="00F753B9" w:rsidP="00F753B9">
            <w:pPr>
              <w:numPr>
                <w:ilvl w:val="0"/>
                <w:numId w:val="7"/>
              </w:numPr>
              <w:bidi w:val="0"/>
              <w:spacing w:before="100" w:beforeAutospacing="1" w:after="100" w:afterAutospacing="1" w:line="240" w:lineRule="auto"/>
              <w:rPr>
                <w:rFonts w:eastAsia="Times New Roman" w:cs="Times New Roman"/>
                <w:sz w:val="24"/>
                <w:szCs w:val="24"/>
              </w:rPr>
            </w:pPr>
            <w:bookmarkStart w:id="63" w:name="P024102"/>
            <w:bookmarkEnd w:id="63"/>
            <w:r w:rsidRPr="003B1D84">
              <w:rPr>
                <w:rFonts w:eastAsia="Times New Roman" w:cs="Times New Roman"/>
                <w:sz w:val="24"/>
                <w:szCs w:val="24"/>
              </w:rPr>
              <w:t xml:space="preserve">Inflammation: connective tissue disease </w:t>
            </w:r>
          </w:p>
          <w:p w:rsidR="00F753B9" w:rsidRPr="003B1D84" w:rsidRDefault="00F753B9" w:rsidP="00F753B9">
            <w:pPr>
              <w:numPr>
                <w:ilvl w:val="0"/>
                <w:numId w:val="7"/>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Lymphoma </w:t>
            </w:r>
          </w:p>
          <w:p w:rsidR="00F753B9" w:rsidRPr="003B1D84" w:rsidRDefault="00F753B9" w:rsidP="00F753B9">
            <w:pPr>
              <w:numPr>
                <w:ilvl w:val="0"/>
                <w:numId w:val="7"/>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Renal failure </w:t>
            </w:r>
          </w:p>
          <w:p w:rsidR="00F753B9" w:rsidRPr="003B1D84" w:rsidRDefault="00F753B9" w:rsidP="00F753B9">
            <w:pPr>
              <w:numPr>
                <w:ilvl w:val="0"/>
                <w:numId w:val="7"/>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Sarcoidosis </w:t>
            </w:r>
          </w:p>
          <w:p w:rsidR="00F753B9" w:rsidRPr="003B1D84" w:rsidRDefault="00F753B9" w:rsidP="00F753B9">
            <w:pPr>
              <w:numPr>
                <w:ilvl w:val="0"/>
                <w:numId w:val="7"/>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 xml:space="preserve">Drugs: corticosteroids, cytotoxics </w:t>
            </w:r>
          </w:p>
          <w:p w:rsidR="00F753B9" w:rsidRDefault="00F753B9" w:rsidP="00F753B9">
            <w:pPr>
              <w:numPr>
                <w:ilvl w:val="0"/>
                <w:numId w:val="7"/>
              </w:numPr>
              <w:bidi w:val="0"/>
              <w:spacing w:before="100" w:beforeAutospacing="1" w:after="100" w:afterAutospacing="1" w:line="240" w:lineRule="auto"/>
              <w:rPr>
                <w:rFonts w:eastAsia="Times New Roman" w:cs="Times New Roman"/>
                <w:sz w:val="24"/>
                <w:szCs w:val="24"/>
              </w:rPr>
            </w:pPr>
            <w:r w:rsidRPr="003B1D84">
              <w:rPr>
                <w:rFonts w:eastAsia="Times New Roman" w:cs="Times New Roman"/>
                <w:sz w:val="24"/>
                <w:szCs w:val="24"/>
              </w:rPr>
              <w:t>Congenital: severe combined immunodeficiency</w:t>
            </w:r>
          </w:p>
          <w:p w:rsidR="009B2786" w:rsidRDefault="009B2786" w:rsidP="009B2786">
            <w:pPr>
              <w:bidi w:val="0"/>
              <w:spacing w:before="100" w:beforeAutospacing="1" w:after="100" w:afterAutospacing="1" w:line="240" w:lineRule="auto"/>
              <w:rPr>
                <w:rFonts w:eastAsia="Times New Roman" w:cs="Times New Roman"/>
                <w:sz w:val="24"/>
                <w:szCs w:val="24"/>
              </w:rPr>
            </w:pPr>
          </w:p>
          <w:p w:rsidR="009B2786" w:rsidRPr="003B1D84" w:rsidRDefault="009B2786" w:rsidP="009B2786">
            <w:pPr>
              <w:bidi w:val="0"/>
              <w:spacing w:before="100" w:beforeAutospacing="1" w:after="100" w:afterAutospacing="1" w:line="240" w:lineRule="auto"/>
              <w:rPr>
                <w:rFonts w:eastAsia="Times New Roman" w:cs="Times New Roman"/>
                <w:sz w:val="24"/>
                <w:szCs w:val="24"/>
              </w:rPr>
            </w:pPr>
          </w:p>
          <w:p w:rsidR="00F753B9" w:rsidRPr="003B1D84" w:rsidRDefault="00F753B9" w:rsidP="00F753B9">
            <w:pPr>
              <w:bidi w:val="0"/>
              <w:spacing w:before="100" w:beforeAutospacing="1" w:after="100" w:afterAutospacing="1" w:line="240" w:lineRule="auto"/>
              <w:ind w:left="720"/>
              <w:rPr>
                <w:rFonts w:eastAsia="Times New Roman" w:cs="Times New Roman"/>
                <w:sz w:val="24"/>
                <w:szCs w:val="24"/>
              </w:rPr>
            </w:pPr>
            <w:r w:rsidRPr="003B1D84">
              <w:rPr>
                <w:rFonts w:eastAsia="Times New Roman" w:cs="Times New Roman"/>
                <w:sz w:val="24"/>
                <w:szCs w:val="24"/>
              </w:rPr>
              <w:t xml:space="preserve"> </w:t>
            </w:r>
          </w:p>
        </w:tc>
      </w:tr>
    </w:tbl>
    <w:p w:rsidR="00F753B9" w:rsidRPr="00F753B9" w:rsidRDefault="009B2786" w:rsidP="009B2786">
      <w:pPr>
        <w:rPr>
          <w:rtl/>
          <w:lang w:bidi="ar-IQ"/>
        </w:rPr>
      </w:pPr>
      <w:r w:rsidRPr="009B2786">
        <w:rPr>
          <w:lang w:bidi="ar-IQ"/>
        </w:rPr>
        <w:object w:dxaOrig="7206" w:dyaOrig="5403">
          <v:shape id="_x0000_i1035" type="#_x0000_t75" style="width:414.5pt;height:435.5pt" o:ole="">
            <v:imagedata r:id="rId9" o:title=""/>
          </v:shape>
          <o:OLEObject Type="Embed" ProgID="PowerPoint.Slide.12" ShapeID="_x0000_i1035" DrawAspect="Content" ObjectID="_1509382814" r:id="rId10"/>
        </w:object>
      </w:r>
    </w:p>
    <w:sectPr w:rsidR="00F753B9" w:rsidRPr="00F753B9" w:rsidSect="0084463F">
      <w:pgSz w:w="11906" w:h="16838"/>
      <w:pgMar w:top="426" w:right="1800" w:bottom="993"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BF8" w:rsidRDefault="006B5BF8" w:rsidP="00FD15B0">
      <w:pPr>
        <w:spacing w:after="0" w:line="240" w:lineRule="auto"/>
      </w:pPr>
      <w:r>
        <w:separator/>
      </w:r>
    </w:p>
  </w:endnote>
  <w:endnote w:type="continuationSeparator" w:id="1">
    <w:p w:rsidR="006B5BF8" w:rsidRDefault="006B5BF8" w:rsidP="00FD15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BF8" w:rsidRDefault="006B5BF8" w:rsidP="00FD15B0">
      <w:pPr>
        <w:spacing w:after="0" w:line="240" w:lineRule="auto"/>
      </w:pPr>
      <w:r>
        <w:separator/>
      </w:r>
    </w:p>
  </w:footnote>
  <w:footnote w:type="continuationSeparator" w:id="1">
    <w:p w:rsidR="006B5BF8" w:rsidRDefault="006B5BF8" w:rsidP="00FD15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36D2"/>
    <w:multiLevelType w:val="multilevel"/>
    <w:tmpl w:val="C764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6E231E"/>
    <w:multiLevelType w:val="multilevel"/>
    <w:tmpl w:val="F952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3F5EAD"/>
    <w:multiLevelType w:val="multilevel"/>
    <w:tmpl w:val="D366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F842E0"/>
    <w:multiLevelType w:val="multilevel"/>
    <w:tmpl w:val="A3D6B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B14C41"/>
    <w:multiLevelType w:val="multilevel"/>
    <w:tmpl w:val="3B5C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7C586B"/>
    <w:multiLevelType w:val="multilevel"/>
    <w:tmpl w:val="8E74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8313AA"/>
    <w:multiLevelType w:val="multilevel"/>
    <w:tmpl w:val="1AE8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6"/>
  </w:num>
  <w:num w:numId="4">
    <w:abstractNumId w:val="2"/>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F753B9"/>
    <w:rsid w:val="00060DD2"/>
    <w:rsid w:val="001914D6"/>
    <w:rsid w:val="001A1FC2"/>
    <w:rsid w:val="001F1326"/>
    <w:rsid w:val="002F2F26"/>
    <w:rsid w:val="003007B0"/>
    <w:rsid w:val="003B1D84"/>
    <w:rsid w:val="004029FA"/>
    <w:rsid w:val="00424317"/>
    <w:rsid w:val="00480649"/>
    <w:rsid w:val="004C77A9"/>
    <w:rsid w:val="005C3041"/>
    <w:rsid w:val="005F2B73"/>
    <w:rsid w:val="00625F2B"/>
    <w:rsid w:val="006635BC"/>
    <w:rsid w:val="006A3A9B"/>
    <w:rsid w:val="006A4A36"/>
    <w:rsid w:val="006B5BF8"/>
    <w:rsid w:val="00700A94"/>
    <w:rsid w:val="00786D27"/>
    <w:rsid w:val="0084463F"/>
    <w:rsid w:val="00844D9A"/>
    <w:rsid w:val="00882A90"/>
    <w:rsid w:val="008A1313"/>
    <w:rsid w:val="008A437B"/>
    <w:rsid w:val="00943622"/>
    <w:rsid w:val="009B2786"/>
    <w:rsid w:val="00A03DF3"/>
    <w:rsid w:val="00A06F60"/>
    <w:rsid w:val="00A97C1F"/>
    <w:rsid w:val="00B41A6E"/>
    <w:rsid w:val="00BA4F5B"/>
    <w:rsid w:val="00C22237"/>
    <w:rsid w:val="00CD6E20"/>
    <w:rsid w:val="00D3065F"/>
    <w:rsid w:val="00DF227A"/>
    <w:rsid w:val="00EB1387"/>
    <w:rsid w:val="00EC3A75"/>
    <w:rsid w:val="00F65471"/>
    <w:rsid w:val="00F753B9"/>
    <w:rsid w:val="00FD15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A6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15B0"/>
    <w:pPr>
      <w:tabs>
        <w:tab w:val="center" w:pos="4153"/>
        <w:tab w:val="right" w:pos="8306"/>
      </w:tabs>
      <w:spacing w:after="0" w:line="240" w:lineRule="auto"/>
    </w:pPr>
  </w:style>
  <w:style w:type="character" w:customStyle="1" w:styleId="Char">
    <w:name w:val="رأس صفحة Char"/>
    <w:basedOn w:val="a0"/>
    <w:link w:val="a3"/>
    <w:uiPriority w:val="99"/>
    <w:semiHidden/>
    <w:rsid w:val="00FD15B0"/>
  </w:style>
  <w:style w:type="paragraph" w:styleId="a4">
    <w:name w:val="footer"/>
    <w:basedOn w:val="a"/>
    <w:link w:val="Char0"/>
    <w:uiPriority w:val="99"/>
    <w:semiHidden/>
    <w:unhideWhenUsed/>
    <w:rsid w:val="00FD15B0"/>
    <w:pPr>
      <w:tabs>
        <w:tab w:val="center" w:pos="4153"/>
        <w:tab w:val="right" w:pos="8306"/>
      </w:tabs>
      <w:spacing w:after="0" w:line="240" w:lineRule="auto"/>
    </w:pPr>
  </w:style>
  <w:style w:type="character" w:customStyle="1" w:styleId="Char0">
    <w:name w:val="تذييل صفحة Char"/>
    <w:basedOn w:val="a0"/>
    <w:link w:val="a4"/>
    <w:uiPriority w:val="99"/>
    <w:semiHidden/>
    <w:rsid w:val="00FD15B0"/>
  </w:style>
  <w:style w:type="paragraph" w:styleId="a5">
    <w:name w:val="Balloon Text"/>
    <w:basedOn w:val="a"/>
    <w:link w:val="Char1"/>
    <w:uiPriority w:val="99"/>
    <w:semiHidden/>
    <w:unhideWhenUsed/>
    <w:rsid w:val="00C2223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C22237"/>
    <w:rPr>
      <w:rFonts w:ascii="Tahoma" w:hAnsi="Tahoma" w:cs="Tahoma"/>
      <w:sz w:val="16"/>
      <w:szCs w:val="16"/>
    </w:rPr>
  </w:style>
  <w:style w:type="paragraph" w:styleId="a6">
    <w:name w:val="Normal (Web)"/>
    <w:basedOn w:val="a"/>
    <w:uiPriority w:val="99"/>
    <w:semiHidden/>
    <w:unhideWhenUsed/>
    <w:rsid w:val="005C304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3634292">
      <w:bodyDiv w:val="1"/>
      <w:marLeft w:val="0"/>
      <w:marRight w:val="0"/>
      <w:marTop w:val="0"/>
      <w:marBottom w:val="0"/>
      <w:divBdr>
        <w:top w:val="none" w:sz="0" w:space="0" w:color="auto"/>
        <w:left w:val="none" w:sz="0" w:space="0" w:color="auto"/>
        <w:bottom w:val="none" w:sz="0" w:space="0" w:color="auto"/>
        <w:right w:val="none" w:sz="0" w:space="0" w:color="auto"/>
      </w:divBdr>
    </w:div>
    <w:div w:id="962005709">
      <w:bodyDiv w:val="1"/>
      <w:marLeft w:val="0"/>
      <w:marRight w:val="0"/>
      <w:marTop w:val="0"/>
      <w:marBottom w:val="0"/>
      <w:divBdr>
        <w:top w:val="none" w:sz="0" w:space="0" w:color="auto"/>
        <w:left w:val="none" w:sz="0" w:space="0" w:color="auto"/>
        <w:bottom w:val="none" w:sz="0" w:space="0" w:color="auto"/>
        <w:right w:val="none" w:sz="0" w:space="0" w:color="auto"/>
      </w:divBdr>
    </w:div>
    <w:div w:id="1152403285">
      <w:bodyDiv w:val="1"/>
      <w:marLeft w:val="0"/>
      <w:marRight w:val="0"/>
      <w:marTop w:val="0"/>
      <w:marBottom w:val="0"/>
      <w:divBdr>
        <w:top w:val="none" w:sz="0" w:space="0" w:color="auto"/>
        <w:left w:val="none" w:sz="0" w:space="0" w:color="auto"/>
        <w:bottom w:val="none" w:sz="0" w:space="0" w:color="auto"/>
        <w:right w:val="none" w:sz="0" w:space="0" w:color="auto"/>
      </w:divBdr>
    </w:div>
    <w:div w:id="1775978747">
      <w:bodyDiv w:val="1"/>
      <w:marLeft w:val="0"/>
      <w:marRight w:val="0"/>
      <w:marTop w:val="0"/>
      <w:marBottom w:val="0"/>
      <w:divBdr>
        <w:top w:val="none" w:sz="0" w:space="0" w:color="auto"/>
        <w:left w:val="none" w:sz="0" w:space="0" w:color="auto"/>
        <w:bottom w:val="none" w:sz="0" w:space="0" w:color="auto"/>
        <w:right w:val="none" w:sz="0" w:space="0" w:color="auto"/>
      </w:divBdr>
    </w:div>
    <w:div w:id="184713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Microsoft_Office_PowerPoint_Slide1.sldx"/><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5</Pages>
  <Words>1238</Words>
  <Characters>7063</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jannat</dc:creator>
  <cp:lastModifiedBy>jannat</cp:lastModifiedBy>
  <cp:revision>19</cp:revision>
  <dcterms:created xsi:type="dcterms:W3CDTF">2014-09-17T19:39:00Z</dcterms:created>
  <dcterms:modified xsi:type="dcterms:W3CDTF">2015-11-18T17:14:00Z</dcterms:modified>
</cp:coreProperties>
</file>