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ABDOMINAL INJURY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The abdomen is a diagnostic black box.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The presence of abdominal rigidity or hemodynamic compromise is an indication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for prompt surgical exploration.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Abdominal trauma may occur as a result of either blunt or penetrative injury.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Many patients have associated chest, skeletal and head injuries, and cooperation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with all specialists involved is essential.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Assessment, and initial management, along the principles of the Advanced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Trauma Life Support system (ATLS) is important, and should ensure that other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relevant injuries are not overlooked.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Blunt trauma includes direct blows, crushing injuries, blast and deceleration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forces.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The history of the mechanism of injury is important in predicting the likely pattern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of internal damage.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Penetrating trauma includes knife and bullet wounds and, again, the pattern of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damage varies with the object which has penetrated the abdomen.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In gunshot injuries, the velocity of a bullet is also important 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The abdominal cavity is most frequently breached from an external wound in the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anterior abdominal wall, but entry into the peritoneal cavity and damage to intra-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abdominal organs can also occur from penetrating wounds in the thorax, the loin,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the buttock or the perineum.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The traditional teaching was that all penetrating trauma of the abdomen should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be explored, whereas blunt injury could be observed and a laparotomy performed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if there was any evidence of peritonitis or intraperitoneal bleeding.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The decision to proceed to laparotomy following abdominal trauma is based on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clinical judgement, often supplemented by imaging and peritoneal lavage.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Some times Physical examination of the abdomen is unreliable in making this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determination, and drugs, alcohol, and head and spinal cord injuries complicate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clinical evaluation.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For this reason  a variety of diagnostic adjuncts are used to identify abdominal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>injury.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The diagnostic approach differs for penetrating trauma and blunt abdominal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>trauma.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Minimal evaluation is required before laparotomy for gunshot or shotgun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wounds that penetrate the peritoneal cavity, because over 90% of patients have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significant internal injuries.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Anterior truncal gunshot wounds between the fourth intercostal space and the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pubic symphysis whose trajectory as determined by radiograph or entrance and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exit wounds indicates peritoneal penetration should be operatively explored ).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Gunshot wounds to the back or flank are more difficult to evaluate because of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the retroperitoneal location of the injured abdominal organs.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Triple-contrast CT scan can delineate the trajectory of the bullet and identify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peritoneal violation or retroperitoneal entry, but may miss specific injuries.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In obese patients, if the gunshot wound is thought to be tangential through the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subcutaneous tissues, CT scan can delineate the track and exclude peritoneal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violation.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Laparoscopy is another option to assess peritoneal penetration and is followed by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laparotomy to repair injuries if found.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If there is doubt, it is always safer to explore the abdomen than to equivocate.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Which abdominal organs are most commonly injured?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How may suspected injuries be investigated?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• Focused abdominal sonar for trauma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FAST is a technique whereby ultrasound imaging is used to assess the torso for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the presence of blood, either in the abdominal cavity or in the pericardium.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The purpose of the ultrasound evaluation of the injured casualty is to determine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the presence of free Intra-abdominal or pericardial fluid.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The technique therefore focuses only on four areas: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>pericardial;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>splenic;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>hepatic;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>pelvic.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FAST is accurate for the detection of &gt;100 ml of free blood;however, it is very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operator and experience dependent and, especially if the patient is very obese or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the bowel is full of gas, it maybe unreliable.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Hollow viscus injury is difficult to diagnose, even in experienced hands, with a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low sensitivity  for organ injury without haemoperitoneum.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FAST is unreliable for excluding injury in penetrating trauma.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If there is doubt, the FAST examination should be repeated.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• Computerised tomography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CT has become the ‘gold standard’ for the intra-abdominal diagnosis of injury in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the stable patient.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The scan is performed using intravenous contrast and often oral contrast as well.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CT is sensitive for blood and has the added advantage of sensitivity for the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diagnosis of retroperitoneal injury.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An entirely normal abdominal CT is usually sufficient to exclude injury.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If duodenal injury is suspected from the mechanism of injury,oral contrast may be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>helpful.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If rectal and distal colonic injury is suspected in the absence of blood on rectal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examination, rectal contrast may be helpful.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• Diagnostic laparoscopy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Diagnostic laparoscopy (DL) is a valuable screening investigation in penetrating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trauma to detect or exclude peritoneal penetration and/or diaphragmatic injury in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stable patients following an abdominal or thoracoabdominal stab wound.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DL is not appropriate for use in the unstable patient.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Evidence of penetration requires a laparotomy to evaluate organ injury, as it is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difficult to exclude all intra-abdominal injuries laparoscopically.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When used in this role DL reduces the non-therapeutic laparotomy rate.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DL is not a substitute for open laparotomy, especially in the presence of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haemoperitoneum or contamination.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• Diagnostic Peritoneal Lavage (DPL)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Some of the indications are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>;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rtl/>
          <w:position w:val="0"/>
          <w:sz w:val="24"/>
          <w:szCs w:val="24"/>
          <w:rFonts w:ascii="나눔고딕" w:eastAsia="나눔고딕" w:hAnsi="나눔고딕" w:hint="default"/>
        </w:rPr>
        <w:t xml:space="preserve">ﰂ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A suspicion of abdominal trauma on clinical examination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rtl/>
          <w:position w:val="0"/>
          <w:sz w:val="24"/>
          <w:szCs w:val="24"/>
          <w:rFonts w:ascii="나눔고딕" w:eastAsia="나눔고딕" w:hAnsi="나눔고딕" w:hint="default"/>
        </w:rPr>
        <w:t xml:space="preserve">ﰂ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Unexplained hypotension: with the abdomen being the source of occult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>haemorrhage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rtl/>
          <w:position w:val="0"/>
          <w:sz w:val="24"/>
          <w:szCs w:val="24"/>
          <w:rFonts w:ascii="나눔고딕" w:eastAsia="나눔고딕" w:hAnsi="나눔고딕" w:hint="default"/>
        </w:rPr>
        <w:t xml:space="preserve">ﰂ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Equivocal abdominal examination because of head injury and reduced level of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>consciousness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rtl/>
          <w:position w:val="0"/>
          <w:sz w:val="24"/>
          <w:szCs w:val="24"/>
          <w:rFonts w:ascii="나눔고딕" w:eastAsia="나눔고딕" w:hAnsi="나눔고딕" w:hint="default"/>
        </w:rPr>
        <w:t xml:space="preserve">ﰂ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The presence of a wound that has traversed the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abdominal wall, but there is no indication for immediate laparotomy, e.g. a stab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wound in a stable patient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>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When is DPL contraindicated?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The most important contraindication for DPL is in the situation which calls for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mandatory laparotomy, e.g. frank peritonitis following trauma, abdominal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gunshot injury or a hypotensive patient with abdominal distension.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What are the positive criteria with DPL?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rtl/>
          <w:position w:val="0"/>
          <w:sz w:val="24"/>
          <w:szCs w:val="24"/>
          <w:rFonts w:ascii="나눔고딕" w:eastAsia="나눔고딕" w:hAnsi="나눔고딕" w:hint="default"/>
        </w:rPr>
        <w:t xml:space="preserve">ﰂ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Lavage fluid appears in the chest drain or urinary catheter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rtl/>
          <w:position w:val="0"/>
          <w:sz w:val="24"/>
          <w:szCs w:val="24"/>
          <w:rFonts w:ascii="나눔고딕" w:eastAsia="나눔고딕" w:hAnsi="나눔고딕" w:hint="default"/>
        </w:rPr>
        <w:t xml:space="preserve">ﰂ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Frank blood on entering the abdomen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rtl/>
          <w:position w:val="0"/>
          <w:sz w:val="24"/>
          <w:szCs w:val="24"/>
          <w:rFonts w:ascii="나눔고딕" w:eastAsia="나눔고딕" w:hAnsi="나눔고딕" w:hint="default"/>
        </w:rPr>
        <w:t xml:space="preserve">ﰂ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Presence of bile or faeces.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rtl/>
          <w:position w:val="0"/>
          <w:sz w:val="24"/>
          <w:szCs w:val="24"/>
          <w:rFonts w:ascii="나눔고딕" w:eastAsia="나눔고딕" w:hAnsi="나눔고딕" w:hint="default"/>
        </w:rPr>
        <w:t xml:space="preserve">ﰂ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Red cell count of &gt;100,000/ml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rtl/>
          <w:position w:val="0"/>
          <w:sz w:val="24"/>
          <w:szCs w:val="24"/>
          <w:rFonts w:ascii="나눔고딕" w:eastAsia="나눔고딕" w:hAnsi="나눔고딕" w:hint="default"/>
        </w:rPr>
        <w:t xml:space="preserve">ﰂ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White cell count of &gt;500/ml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rtl/>
          <w:position w:val="0"/>
          <w:sz w:val="24"/>
          <w:szCs w:val="24"/>
          <w:rFonts w:ascii="나눔고딕" w:eastAsia="나눔고딕" w:hAnsi="나눔고딕" w:hint="default"/>
        </w:rPr>
        <w:t xml:space="preserve">ﰂ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Amylase of &gt;175 U/ml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Which incision?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The midline incision – bloodless, rapid, and easily extended – affords superior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exposure and versatility;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it remains the classic“incision of indecision”when the site of the abdominal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catastrophe is unknown and is the safest approach in trauma.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Incisions heal from side to side, not from end to end, but length does matter.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“The incision must be as long as necessary and as short as possible”.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Grading the Severity of Injury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;There are many available organ injury scale.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From the operating surgeon’s point of view there are essentially two patterns of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visceral damage: “minor trouble” and “major trouble”.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 “Minor trouble” involves easily fixable injuries, either because the injured organ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is accessible or the surgical solution is straightforward (e.g., splenectomy, suture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of mesenteric bleeders, or a colon perforation).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There is no immediate danger of exsanguination or loss of surgical control.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Under these circumstances you can immediately proceed with definitive repair.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 “Major trouble”is when the spontaneous condition or injury is not easily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rectified because of complexity or inaccessibility (e.g., a high-grade liver injury, a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major retroperitoneal vascular injury in the supracolic compartment, or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destruction of the pancreatoduodenal complex).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This is the appropriate time to seek more competent help, and to plan the </w:t>
      </w: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operative attack, including additional exposure and mobilization.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Such preparations are crucial for the survival of your patient.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position w:val="0"/>
          <w:sz w:val="24"/>
          <w:szCs w:val="24"/>
          <w:rFonts w:ascii="나눔고딕" w:eastAsia="나눔고딕" w:hAnsi="나눔고딕" w:hint="default"/>
        </w:rPr>
        <w:wordWrap w:val="off"/>
      </w:pPr>
      <w:r>
        <w:rPr>
          <w:position w:val="0"/>
          <w:sz w:val="24"/>
          <w:szCs w:val="24"/>
          <w:rFonts w:ascii="나눔고딕" w:eastAsia="나눔고딕" w:hAnsi="나눔고딕" w:hint="default"/>
        </w:rPr>
        <w:t xml:space="preserve"> </w:t>
      </w:r>
    </w:p>
    <w:sectPr>
      <w:pgSz w:w="11906" w:h="16838"/>
      <w:pgMar w:top="1701" w:left="1440" w:bottom="1440" w:right="1440" w:header="708" w:footer="708" w:gutter="0"/>
      <w:pgNumType w:fmt="decimal"/>
      <w:docGrid w:type="default" w:linePitch="360" w:charSiz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anumGothic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바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나눔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2"/>
  <w:noPunctuationKerning/>
  <w:characterSpacingControl w:val="doNotCompress"/>
  <w:bordersDoNotSurroundHeader/>
  <w:bordersDoNotSurroundFooter/>
  <w:compat w:val="0">
    <w:doNotExpandShiftReturn/>
    <w:useFELayout/>
    <w:compatSetting w:name="compatibilityMode" w:uri="http://schemas.microsoft.com/office/word" w:val="14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Times New Roman" w:eastAsia="Times New Roman" w:hAnsi="Times New Roman"/>
        <w:shd w:val="clear"/>
        <w:sz w:val="20"/>
        <w:szCs w:val="20"/>
        <w:w w:val="100"/>
      </w:rPr>
    </w:rPrDefault>
  </w:docDefaults>
  <w:style w:default="1" w:styleId="PO1" w:type="paragraph">
    <w:name w:val="Normal"/>
    <w:uiPriority w:val="1"/>
    <w:pPr>
      <w:autoSpaceDE w:val="0"/>
      <w:autoSpaceDN w:val="0"/>
      <w:jc w:val="both"/>
      <w:widowControl/>
      <w:wordWrap/>
    </w:pPr>
    <w:rPr>
      <w:rFonts w:ascii="바탕" w:eastAsia="NanumGothic" w:hAnsi="바탕"/>
      <w:shd w:val="clear"/>
      <w:sz w:val="20"/>
      <w:szCs w:val="20"/>
      <w:w w:val="100"/>
    </w:r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customStyle="1" w:styleId="PO151" w:type="table">
    <w:name w:val="Default Table"/>
    <w:uiPriority w:val="151"/>
    <w:tblPr>
      <w:tblBorders>
        <w:bottom w:val="single" w:color="000000" w:sz="4"/>
        <w:insideH w:val="single" w:color="000000" w:sz="4"/>
        <w:insideV w:val="single" w:color="000000" w:sz="4"/>
        <w:left w:val="single" w:color="000000" w:sz="4"/>
        <w:right w:val="single" w:color="000000" w:sz="4"/>
        <w:top w:val="single" w:color="000000" w:sz="4"/>
      </w:tblBorders>
      <w:tblCellMar>
        <w:bottom w:type="dxa" w:w="0"/>
        <w:left w:type="dxa" w:w="108"/>
        <w:right w:type="dxa" w:w="108"/>
        <w:top w:type="dxa" w:w="0"/>
      </w:tblCellMar>
    </w:tblPr>
  </w:style>
  <w:style w:customStyle="1" w:styleId="PO152" w:type="paragraph">
    <w:name w:val="ParaAttribute0"/>
    <w:uiPriority w:val="152"/>
  </w:style>
  <w:style w:customStyle="1" w:styleId="PO153" w:type="character">
    <w:name w:val="CharAttribute0"/>
    <w:uiPriority w:val="153"/>
    <w:rPr>
      <w:rFonts w:ascii="Times New Roman" w:eastAsia="Times New Roman" w:hAnsi="Times New Roman"/>
      <w:shd w:val="clear" w:color="000000"/>
      <w:sz w:val="20"/>
      <w:szCs w:val="20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</a:majorFont>
      <a:minorFont>
        <a:latin typeface="맑은 고딕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AppVersion>12.000</AppVersion>
  <Characters>0</Characters>
  <CharactersWithSpaces>0</CharactersWithSpaces>
  <DocSecurity>0</DocSecurity>
  <HyperlinksChanged>false</HyperlinksChanged>
  <Lines>0</Lines>
  <LinksUpToDate>false</LinksUpToDate>
  <Pages>5</Pages>
  <Paragraphs>0</Paragraphs>
  <Words>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Mohend </dc:creator>
  <cp:lastModifiedBy>Mohend </cp:lastModifiedBy>
  <dcterms:modified xsi:type="dcterms:W3CDTF">2015-07-31T04:53:00Z</dcterms:modified>
</cp:coreProperties>
</file>