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0A" w:rsidRDefault="00AD350A" w:rsidP="00AD350A">
      <w:pPr>
        <w:rPr>
          <w:sz w:val="28"/>
          <w:szCs w:val="28"/>
          <w:rtl/>
        </w:rPr>
      </w:pPr>
      <w:r w:rsidRPr="00122995">
        <w:rPr>
          <w:rFonts w:hint="cs"/>
          <w:b/>
          <w:bCs/>
          <w:sz w:val="28"/>
          <w:szCs w:val="28"/>
          <w:u w:val="single"/>
          <w:rtl/>
        </w:rPr>
        <w:t>-تقسيم النفقات العامه حسب نطاق شمولها:-</w:t>
      </w:r>
    </w:p>
    <w:p w:rsidR="00AD350A" w:rsidRDefault="00AD350A" w:rsidP="00AD350A">
      <w:pPr>
        <w:pStyle w:val="ListParagraph"/>
        <w:numPr>
          <w:ilvl w:val="0"/>
          <w:numId w:val="18"/>
        </w:numPr>
        <w:rPr>
          <w:sz w:val="28"/>
          <w:szCs w:val="28"/>
        </w:rPr>
      </w:pPr>
      <w:r>
        <w:rPr>
          <w:rFonts w:hint="cs"/>
          <w:sz w:val="28"/>
          <w:szCs w:val="28"/>
          <w:rtl/>
        </w:rPr>
        <w:t>المركزيه هي النفقات التي تنفقها الحكومه المركزيه والتي تعود منافعها على كل افراد المجتمع مثل نفقات الامن والدفاع.</w:t>
      </w:r>
    </w:p>
    <w:p w:rsidR="00AD350A" w:rsidRDefault="00AD350A" w:rsidP="00AD350A">
      <w:pPr>
        <w:pStyle w:val="ListParagraph"/>
        <w:numPr>
          <w:ilvl w:val="0"/>
          <w:numId w:val="18"/>
        </w:numPr>
        <w:rPr>
          <w:sz w:val="28"/>
          <w:szCs w:val="28"/>
        </w:rPr>
      </w:pPr>
      <w:r>
        <w:rPr>
          <w:rFonts w:hint="cs"/>
          <w:sz w:val="28"/>
          <w:szCs w:val="28"/>
          <w:rtl/>
        </w:rPr>
        <w:t>المحليه: هي النفقات التي تنفقها الحكومه المحليه والتي تعود منافعها على سكان اقليم معين او محافظه معينه.</w:t>
      </w:r>
    </w:p>
    <w:p w:rsidR="00AD350A" w:rsidRDefault="00AD350A" w:rsidP="00AD350A">
      <w:pPr>
        <w:ind w:left="360"/>
        <w:rPr>
          <w:sz w:val="28"/>
          <w:szCs w:val="28"/>
          <w:rtl/>
        </w:rPr>
      </w:pPr>
    </w:p>
    <w:p w:rsidR="00AD350A" w:rsidRPr="00122995" w:rsidRDefault="00AD350A" w:rsidP="00AD350A">
      <w:pPr>
        <w:rPr>
          <w:sz w:val="28"/>
          <w:szCs w:val="28"/>
          <w:rtl/>
        </w:rPr>
      </w:pPr>
    </w:p>
    <w:p w:rsidR="00AD350A" w:rsidRDefault="00AD350A" w:rsidP="00AD350A">
      <w:pPr>
        <w:rPr>
          <w:sz w:val="28"/>
          <w:szCs w:val="28"/>
          <w:rtl/>
        </w:rPr>
      </w:pPr>
      <w:r>
        <w:rPr>
          <w:rFonts w:hint="cs"/>
          <w:sz w:val="28"/>
          <w:szCs w:val="28"/>
          <w:rtl/>
        </w:rPr>
        <w:t>ثانيا:- تقسيم النفقات العامه وفقا للمعاير الاقتصاديه :-</w:t>
      </w:r>
    </w:p>
    <w:p w:rsidR="00AD350A" w:rsidRDefault="00AD350A" w:rsidP="00AD350A">
      <w:pPr>
        <w:rPr>
          <w:sz w:val="28"/>
          <w:szCs w:val="28"/>
          <w:rtl/>
        </w:rPr>
      </w:pPr>
      <w:r>
        <w:rPr>
          <w:rFonts w:hint="cs"/>
          <w:sz w:val="28"/>
          <w:szCs w:val="28"/>
          <w:rtl/>
        </w:rPr>
        <w:t>من الاسباب التي تبرر اللجؤ الى تقسيم النفقات العامه على اساس المعيار الاقتصادي هي:</w:t>
      </w:r>
    </w:p>
    <w:p w:rsidR="00AD350A" w:rsidRDefault="00AD350A" w:rsidP="00AD350A">
      <w:pPr>
        <w:pStyle w:val="ListParagraph"/>
        <w:numPr>
          <w:ilvl w:val="0"/>
          <w:numId w:val="19"/>
        </w:numPr>
        <w:rPr>
          <w:sz w:val="28"/>
          <w:szCs w:val="28"/>
        </w:rPr>
      </w:pPr>
      <w:r>
        <w:rPr>
          <w:rFonts w:hint="cs"/>
          <w:sz w:val="28"/>
          <w:szCs w:val="28"/>
          <w:rtl/>
        </w:rPr>
        <w:t>انه معيار حديث نسبيا ويعتمد على اساس الاقتصادي في التصنيف .</w:t>
      </w:r>
    </w:p>
    <w:p w:rsidR="00AD350A" w:rsidRDefault="00AD350A" w:rsidP="00AD350A">
      <w:pPr>
        <w:pStyle w:val="ListParagraph"/>
        <w:numPr>
          <w:ilvl w:val="0"/>
          <w:numId w:val="19"/>
        </w:numPr>
        <w:rPr>
          <w:sz w:val="28"/>
          <w:szCs w:val="28"/>
        </w:rPr>
      </w:pPr>
      <w:r>
        <w:rPr>
          <w:rFonts w:hint="cs"/>
          <w:sz w:val="28"/>
          <w:szCs w:val="28"/>
          <w:rtl/>
        </w:rPr>
        <w:t>انه الاكثر شيوعا واستخداما وهذا يشمل البلدان العربيه.</w:t>
      </w:r>
    </w:p>
    <w:p w:rsidR="00AD350A" w:rsidRDefault="00AD350A" w:rsidP="00AD350A">
      <w:pPr>
        <w:pStyle w:val="ListParagraph"/>
        <w:numPr>
          <w:ilvl w:val="0"/>
          <w:numId w:val="19"/>
        </w:numPr>
        <w:rPr>
          <w:sz w:val="28"/>
          <w:szCs w:val="28"/>
        </w:rPr>
      </w:pPr>
      <w:r>
        <w:rPr>
          <w:rFonts w:hint="cs"/>
          <w:sz w:val="28"/>
          <w:szCs w:val="28"/>
          <w:rtl/>
        </w:rPr>
        <w:t>انه معيار حركي متطور مع تفيد الظروف الاقتصاديه</w:t>
      </w:r>
      <w:r w:rsidRPr="00122995">
        <w:rPr>
          <w:rFonts w:hint="cs"/>
          <w:sz w:val="28"/>
          <w:szCs w:val="28"/>
          <w:rtl/>
        </w:rPr>
        <w:t xml:space="preserve"> </w:t>
      </w:r>
      <w:r>
        <w:rPr>
          <w:rFonts w:hint="cs"/>
          <w:sz w:val="28"/>
          <w:szCs w:val="28"/>
          <w:rtl/>
        </w:rPr>
        <w:t>.</w:t>
      </w:r>
    </w:p>
    <w:p w:rsidR="00AD350A" w:rsidRDefault="00AD350A" w:rsidP="00AD350A">
      <w:pPr>
        <w:rPr>
          <w:sz w:val="28"/>
          <w:szCs w:val="28"/>
          <w:rtl/>
        </w:rPr>
      </w:pPr>
      <w:r>
        <w:rPr>
          <w:rFonts w:hint="cs"/>
          <w:sz w:val="28"/>
          <w:szCs w:val="28"/>
          <w:rtl/>
        </w:rPr>
        <w:t>ومن اقسامه:-</w:t>
      </w:r>
    </w:p>
    <w:p w:rsidR="00AD350A" w:rsidRDefault="00AD350A" w:rsidP="00AD350A">
      <w:pPr>
        <w:pStyle w:val="ListParagraph"/>
        <w:numPr>
          <w:ilvl w:val="0"/>
          <w:numId w:val="20"/>
        </w:numPr>
        <w:rPr>
          <w:sz w:val="28"/>
          <w:szCs w:val="28"/>
        </w:rPr>
      </w:pPr>
      <w:r>
        <w:rPr>
          <w:rFonts w:hint="cs"/>
          <w:sz w:val="28"/>
          <w:szCs w:val="28"/>
          <w:rtl/>
        </w:rPr>
        <w:t>تقسيم النفقات العامه حسب الدوريه والانتظام:-</w:t>
      </w:r>
    </w:p>
    <w:p w:rsidR="00AD350A" w:rsidRDefault="00AD350A" w:rsidP="00AD350A">
      <w:pPr>
        <w:pStyle w:val="ListParagraph"/>
        <w:numPr>
          <w:ilvl w:val="0"/>
          <w:numId w:val="21"/>
        </w:numPr>
        <w:rPr>
          <w:sz w:val="28"/>
          <w:szCs w:val="28"/>
        </w:rPr>
      </w:pPr>
      <w:r>
        <w:rPr>
          <w:rFonts w:hint="cs"/>
          <w:sz w:val="28"/>
          <w:szCs w:val="28"/>
          <w:rtl/>
        </w:rPr>
        <w:t>العاديه ...تمتاز بالدوريه والانتظام وهي تلك النفقات التي تكرر بانتظام بشكل سنوي كرواتب موظفي الدوله.</w:t>
      </w:r>
    </w:p>
    <w:p w:rsidR="00AD350A" w:rsidRDefault="00AD350A" w:rsidP="00AD350A">
      <w:pPr>
        <w:pStyle w:val="ListParagraph"/>
        <w:numPr>
          <w:ilvl w:val="0"/>
          <w:numId w:val="21"/>
        </w:numPr>
        <w:rPr>
          <w:sz w:val="28"/>
          <w:szCs w:val="28"/>
        </w:rPr>
      </w:pPr>
      <w:r>
        <w:rPr>
          <w:rFonts w:hint="cs"/>
          <w:sz w:val="28"/>
          <w:szCs w:val="28"/>
          <w:rtl/>
        </w:rPr>
        <w:t>غير العاديه ...هي النفقات التي لا تتصف بالدوريه والانتظام ويتطلب من الدوله الانفاق بسبب الكوارث والحروب والفياضانات وهي النفقات التي لا تتكرر ولا تتجد كل سنه بل تحدث في فترات متباعده.</w:t>
      </w:r>
    </w:p>
    <w:p w:rsidR="00AD350A" w:rsidRPr="00995755" w:rsidRDefault="00AD350A" w:rsidP="00AD350A">
      <w:pPr>
        <w:rPr>
          <w:b/>
          <w:bCs/>
          <w:sz w:val="28"/>
          <w:szCs w:val="28"/>
          <w:rtl/>
        </w:rPr>
      </w:pPr>
      <w:r w:rsidRPr="00995755">
        <w:rPr>
          <w:rFonts w:hint="cs"/>
          <w:b/>
          <w:bCs/>
          <w:sz w:val="28"/>
          <w:szCs w:val="28"/>
          <w:rtl/>
        </w:rPr>
        <w:t>علل/ تقسيم النفقات العامه الى عاديه وغير عاديه؟</w:t>
      </w:r>
    </w:p>
    <w:p w:rsidR="00AD350A" w:rsidRDefault="00AD350A" w:rsidP="00AD350A">
      <w:pPr>
        <w:rPr>
          <w:sz w:val="28"/>
          <w:szCs w:val="28"/>
          <w:rtl/>
        </w:rPr>
      </w:pPr>
      <w:r>
        <w:rPr>
          <w:rFonts w:hint="cs"/>
          <w:sz w:val="28"/>
          <w:szCs w:val="28"/>
          <w:rtl/>
        </w:rPr>
        <w:t>ج/ لان الضرائب تعتبر المصدر الرئيسي لتمويل النفقات العامه وبالتالي الكلاسيك لديهم نوع واحد من النفقات ونظرا لزياده الوظائف التي تقوم بها الدوله هذا الامر جعل حصيله الضريبيه غير كافيه لتمويل النفقات العامه للدوله فان الكلاسيك كي يتمكنو من الخروج من المأزق قسمو النفقات الى عاديه وغير عاديه , فالعاديه يتم تمويلها عن طريق الضرائب اما غير العاديه فيتم تحويلها من مصادر غير عاديه كالقروض العامه والاصدار النقدي الجديد.</w:t>
      </w:r>
    </w:p>
    <w:p w:rsidR="00AD350A" w:rsidRDefault="00AD350A" w:rsidP="00AD350A">
      <w:pPr>
        <w:rPr>
          <w:sz w:val="28"/>
          <w:szCs w:val="28"/>
          <w:rtl/>
        </w:rPr>
      </w:pPr>
    </w:p>
    <w:p w:rsidR="00AD350A" w:rsidRPr="00995755" w:rsidRDefault="00AD350A" w:rsidP="00AD350A">
      <w:pPr>
        <w:rPr>
          <w:b/>
          <w:bCs/>
          <w:sz w:val="28"/>
          <w:szCs w:val="28"/>
          <w:rtl/>
        </w:rPr>
      </w:pPr>
      <w:r w:rsidRPr="00995755">
        <w:rPr>
          <w:rFonts w:hint="cs"/>
          <w:b/>
          <w:bCs/>
          <w:sz w:val="28"/>
          <w:szCs w:val="28"/>
          <w:rtl/>
        </w:rPr>
        <w:t>*الانتقادات التي وجهت بهذا التقسيم:-</w:t>
      </w:r>
    </w:p>
    <w:p w:rsidR="00AD350A" w:rsidRDefault="00AD350A" w:rsidP="00AD350A">
      <w:pPr>
        <w:rPr>
          <w:sz w:val="28"/>
          <w:szCs w:val="28"/>
          <w:rtl/>
        </w:rPr>
      </w:pPr>
      <w:r>
        <w:rPr>
          <w:rFonts w:hint="cs"/>
          <w:sz w:val="28"/>
          <w:szCs w:val="28"/>
          <w:rtl/>
        </w:rPr>
        <w:t>1- في ظل هذا التصنيف قد يتصدر القبول بدوريه النفقات العامه كمعيار للفصل بين النفقات العامه العاديه وغير العاديه .</w:t>
      </w:r>
    </w:p>
    <w:p w:rsidR="00AD350A" w:rsidRDefault="00AD350A" w:rsidP="00AD350A">
      <w:pPr>
        <w:rPr>
          <w:sz w:val="28"/>
          <w:szCs w:val="28"/>
          <w:rtl/>
        </w:rPr>
      </w:pPr>
      <w:r>
        <w:rPr>
          <w:rFonts w:hint="cs"/>
          <w:sz w:val="28"/>
          <w:szCs w:val="28"/>
          <w:rtl/>
        </w:rPr>
        <w:t>2-يؤخذ على هذا التصنيف انه لم يعد يتماشى مع المفهوم الحديث للماليه العامه.</w:t>
      </w:r>
    </w:p>
    <w:p w:rsidR="00AD350A" w:rsidRDefault="00AD350A" w:rsidP="00AD350A">
      <w:pPr>
        <w:rPr>
          <w:sz w:val="28"/>
          <w:szCs w:val="28"/>
          <w:rtl/>
        </w:rPr>
      </w:pPr>
    </w:p>
    <w:p w:rsidR="00AD350A" w:rsidRDefault="00AD350A" w:rsidP="00AD350A">
      <w:pPr>
        <w:rPr>
          <w:sz w:val="28"/>
          <w:szCs w:val="28"/>
          <w:rtl/>
        </w:rPr>
      </w:pPr>
    </w:p>
    <w:p w:rsidR="00AD350A" w:rsidRPr="00995755" w:rsidRDefault="00AD350A" w:rsidP="00AD350A">
      <w:pPr>
        <w:rPr>
          <w:b/>
          <w:bCs/>
          <w:sz w:val="28"/>
          <w:szCs w:val="28"/>
          <w:rtl/>
        </w:rPr>
      </w:pPr>
      <w:r w:rsidRPr="00995755">
        <w:rPr>
          <w:rFonts w:hint="cs"/>
          <w:b/>
          <w:bCs/>
          <w:sz w:val="28"/>
          <w:szCs w:val="28"/>
          <w:rtl/>
        </w:rPr>
        <w:lastRenderedPageBreak/>
        <w:t>*يمكن التميز بين النفقات العاديه وغير العاديه من خلال المعايير:-</w:t>
      </w:r>
    </w:p>
    <w:tbl>
      <w:tblPr>
        <w:tblStyle w:val="TableGrid"/>
        <w:bidiVisual/>
        <w:tblW w:w="0" w:type="auto"/>
        <w:tblLook w:val="04A0" w:firstRow="1" w:lastRow="0" w:firstColumn="1" w:lastColumn="0" w:noHBand="0" w:noVBand="1"/>
      </w:tblPr>
      <w:tblGrid>
        <w:gridCol w:w="2765"/>
        <w:gridCol w:w="2765"/>
        <w:gridCol w:w="2766"/>
      </w:tblGrid>
      <w:tr w:rsidR="00AD350A" w:rsidTr="0091441F">
        <w:tc>
          <w:tcPr>
            <w:tcW w:w="2765" w:type="dxa"/>
          </w:tcPr>
          <w:p w:rsidR="00AD350A" w:rsidRPr="00995755" w:rsidRDefault="00AD350A" w:rsidP="0091441F">
            <w:pPr>
              <w:rPr>
                <w:sz w:val="28"/>
                <w:szCs w:val="28"/>
                <w:rtl/>
              </w:rPr>
            </w:pPr>
            <w:r>
              <w:rPr>
                <w:rFonts w:hint="cs"/>
                <w:sz w:val="28"/>
                <w:szCs w:val="28"/>
                <w:rtl/>
              </w:rPr>
              <w:t xml:space="preserve">نوع المعيار </w:t>
            </w:r>
          </w:p>
        </w:tc>
        <w:tc>
          <w:tcPr>
            <w:tcW w:w="2765" w:type="dxa"/>
          </w:tcPr>
          <w:p w:rsidR="00AD350A" w:rsidRPr="007D3CB7" w:rsidRDefault="00AD350A" w:rsidP="0091441F">
            <w:pPr>
              <w:rPr>
                <w:sz w:val="28"/>
                <w:szCs w:val="28"/>
                <w:rtl/>
              </w:rPr>
            </w:pPr>
            <w:r w:rsidRPr="007D3CB7">
              <w:rPr>
                <w:rFonts w:hint="cs"/>
                <w:sz w:val="28"/>
                <w:szCs w:val="28"/>
                <w:rtl/>
              </w:rPr>
              <w:t xml:space="preserve">العاديه </w:t>
            </w:r>
          </w:p>
        </w:tc>
        <w:tc>
          <w:tcPr>
            <w:tcW w:w="2766" w:type="dxa"/>
          </w:tcPr>
          <w:p w:rsidR="00AD350A" w:rsidRPr="007D3CB7" w:rsidRDefault="00AD350A" w:rsidP="0091441F">
            <w:pPr>
              <w:rPr>
                <w:sz w:val="28"/>
                <w:szCs w:val="28"/>
                <w:rtl/>
              </w:rPr>
            </w:pPr>
            <w:r w:rsidRPr="007D3CB7">
              <w:rPr>
                <w:rFonts w:hint="cs"/>
                <w:sz w:val="28"/>
                <w:szCs w:val="28"/>
                <w:rtl/>
              </w:rPr>
              <w:t xml:space="preserve">غير العاديه </w:t>
            </w:r>
          </w:p>
        </w:tc>
      </w:tr>
      <w:tr w:rsidR="00AD350A" w:rsidTr="0091441F">
        <w:tc>
          <w:tcPr>
            <w:tcW w:w="2765" w:type="dxa"/>
          </w:tcPr>
          <w:p w:rsidR="00AD350A" w:rsidRPr="007D3CB7" w:rsidRDefault="00AD350A" w:rsidP="0091441F">
            <w:pPr>
              <w:rPr>
                <w:sz w:val="28"/>
                <w:szCs w:val="28"/>
                <w:rtl/>
              </w:rPr>
            </w:pPr>
            <w:r w:rsidRPr="007D3CB7">
              <w:rPr>
                <w:rFonts w:hint="cs"/>
                <w:sz w:val="28"/>
                <w:szCs w:val="28"/>
                <w:rtl/>
              </w:rPr>
              <w:t>1-الدوريه والانتظام</w:t>
            </w:r>
          </w:p>
        </w:tc>
        <w:tc>
          <w:tcPr>
            <w:tcW w:w="2765" w:type="dxa"/>
          </w:tcPr>
          <w:p w:rsidR="00AD350A" w:rsidRPr="007D3CB7" w:rsidRDefault="00AD350A" w:rsidP="0091441F">
            <w:pPr>
              <w:rPr>
                <w:sz w:val="28"/>
                <w:szCs w:val="28"/>
                <w:rtl/>
              </w:rPr>
            </w:pPr>
            <w:r w:rsidRPr="007D3CB7">
              <w:rPr>
                <w:rFonts w:hint="cs"/>
                <w:sz w:val="28"/>
                <w:szCs w:val="28"/>
                <w:rtl/>
              </w:rPr>
              <w:t>تتصف بالدوريه والانتظام</w:t>
            </w:r>
          </w:p>
        </w:tc>
        <w:tc>
          <w:tcPr>
            <w:tcW w:w="2766" w:type="dxa"/>
          </w:tcPr>
          <w:p w:rsidR="00AD350A" w:rsidRPr="007D3CB7" w:rsidRDefault="00AD350A" w:rsidP="0091441F">
            <w:pPr>
              <w:rPr>
                <w:sz w:val="28"/>
                <w:szCs w:val="28"/>
                <w:rtl/>
              </w:rPr>
            </w:pPr>
            <w:r w:rsidRPr="007D3CB7">
              <w:rPr>
                <w:rFonts w:hint="cs"/>
                <w:sz w:val="28"/>
                <w:szCs w:val="28"/>
                <w:rtl/>
              </w:rPr>
              <w:t>لا تتصف بالدوريه والانتظام</w:t>
            </w:r>
          </w:p>
        </w:tc>
      </w:tr>
      <w:tr w:rsidR="00AD350A" w:rsidTr="0091441F">
        <w:tc>
          <w:tcPr>
            <w:tcW w:w="2765" w:type="dxa"/>
          </w:tcPr>
          <w:p w:rsidR="00AD350A" w:rsidRPr="007D3CB7" w:rsidRDefault="00AD350A" w:rsidP="0091441F">
            <w:pPr>
              <w:rPr>
                <w:sz w:val="28"/>
                <w:szCs w:val="28"/>
                <w:rtl/>
              </w:rPr>
            </w:pPr>
            <w:r w:rsidRPr="007D3CB7">
              <w:rPr>
                <w:rFonts w:hint="cs"/>
                <w:sz w:val="28"/>
                <w:szCs w:val="28"/>
                <w:rtl/>
              </w:rPr>
              <w:t>2-الفتره الزمنيه لحصول اثار النفقات</w:t>
            </w:r>
          </w:p>
        </w:tc>
        <w:tc>
          <w:tcPr>
            <w:tcW w:w="2765" w:type="dxa"/>
          </w:tcPr>
          <w:p w:rsidR="00AD350A" w:rsidRPr="007D3CB7" w:rsidRDefault="00AD350A" w:rsidP="0091441F">
            <w:pPr>
              <w:rPr>
                <w:sz w:val="28"/>
                <w:szCs w:val="28"/>
                <w:rtl/>
              </w:rPr>
            </w:pPr>
            <w:r w:rsidRPr="007D3CB7">
              <w:rPr>
                <w:rFonts w:hint="cs"/>
                <w:sz w:val="28"/>
                <w:szCs w:val="28"/>
                <w:rtl/>
              </w:rPr>
              <w:t>هي نفقات عامه لا يتعدى اثارها حدود السنه الماليه</w:t>
            </w:r>
          </w:p>
        </w:tc>
        <w:tc>
          <w:tcPr>
            <w:tcW w:w="2766" w:type="dxa"/>
          </w:tcPr>
          <w:p w:rsidR="00AD350A" w:rsidRPr="007D3CB7" w:rsidRDefault="00AD350A" w:rsidP="0091441F">
            <w:pPr>
              <w:rPr>
                <w:sz w:val="28"/>
                <w:szCs w:val="28"/>
                <w:rtl/>
              </w:rPr>
            </w:pPr>
            <w:r w:rsidRPr="007D3CB7">
              <w:rPr>
                <w:rFonts w:hint="cs"/>
                <w:sz w:val="28"/>
                <w:szCs w:val="28"/>
                <w:rtl/>
              </w:rPr>
              <w:t>هي النفقات التي تتعدى اثارها السنه الماليه</w:t>
            </w:r>
          </w:p>
        </w:tc>
      </w:tr>
      <w:tr w:rsidR="00AD350A" w:rsidTr="0091441F">
        <w:tc>
          <w:tcPr>
            <w:tcW w:w="2765" w:type="dxa"/>
          </w:tcPr>
          <w:p w:rsidR="00AD350A" w:rsidRPr="007D3CB7" w:rsidRDefault="00AD350A" w:rsidP="0091441F">
            <w:pPr>
              <w:rPr>
                <w:sz w:val="28"/>
                <w:szCs w:val="28"/>
                <w:rtl/>
              </w:rPr>
            </w:pPr>
            <w:r w:rsidRPr="007D3CB7">
              <w:rPr>
                <w:rFonts w:hint="cs"/>
                <w:sz w:val="28"/>
                <w:szCs w:val="28"/>
                <w:rtl/>
              </w:rPr>
              <w:t>3-توليد الدخل</w:t>
            </w:r>
          </w:p>
        </w:tc>
        <w:tc>
          <w:tcPr>
            <w:tcW w:w="2765" w:type="dxa"/>
          </w:tcPr>
          <w:p w:rsidR="00AD350A" w:rsidRPr="007D3CB7" w:rsidRDefault="00AD350A" w:rsidP="0091441F">
            <w:pPr>
              <w:rPr>
                <w:sz w:val="28"/>
                <w:szCs w:val="28"/>
                <w:rtl/>
              </w:rPr>
            </w:pPr>
            <w:r w:rsidRPr="007D3CB7">
              <w:rPr>
                <w:rFonts w:hint="cs"/>
                <w:sz w:val="28"/>
                <w:szCs w:val="28"/>
                <w:rtl/>
              </w:rPr>
              <w:t>هي نفقات لا تدر دخلا</w:t>
            </w:r>
          </w:p>
        </w:tc>
        <w:tc>
          <w:tcPr>
            <w:tcW w:w="2766" w:type="dxa"/>
          </w:tcPr>
          <w:p w:rsidR="00AD350A" w:rsidRPr="007D3CB7" w:rsidRDefault="00AD350A" w:rsidP="0091441F">
            <w:pPr>
              <w:rPr>
                <w:sz w:val="28"/>
                <w:szCs w:val="28"/>
                <w:rtl/>
              </w:rPr>
            </w:pPr>
            <w:r w:rsidRPr="007D3CB7">
              <w:rPr>
                <w:rFonts w:hint="cs"/>
                <w:sz w:val="28"/>
                <w:szCs w:val="28"/>
                <w:rtl/>
              </w:rPr>
              <w:t>هي نفقات تدر دخلا</w:t>
            </w:r>
          </w:p>
        </w:tc>
      </w:tr>
      <w:tr w:rsidR="00AD350A" w:rsidTr="0091441F">
        <w:tc>
          <w:tcPr>
            <w:tcW w:w="2765" w:type="dxa"/>
          </w:tcPr>
          <w:p w:rsidR="00AD350A" w:rsidRPr="007D3CB7" w:rsidRDefault="00AD350A" w:rsidP="0091441F">
            <w:pPr>
              <w:rPr>
                <w:sz w:val="28"/>
                <w:szCs w:val="28"/>
                <w:rtl/>
              </w:rPr>
            </w:pPr>
            <w:r w:rsidRPr="007D3CB7">
              <w:rPr>
                <w:rFonts w:hint="cs"/>
                <w:sz w:val="28"/>
                <w:szCs w:val="28"/>
                <w:rtl/>
              </w:rPr>
              <w:t>4-مدى تساهم النفقات العامه من تكوين رؤوس الاموال العينيه</w:t>
            </w:r>
          </w:p>
        </w:tc>
        <w:tc>
          <w:tcPr>
            <w:tcW w:w="2765" w:type="dxa"/>
          </w:tcPr>
          <w:p w:rsidR="00AD350A" w:rsidRPr="007D3CB7" w:rsidRDefault="00AD350A" w:rsidP="0091441F">
            <w:pPr>
              <w:rPr>
                <w:sz w:val="28"/>
                <w:szCs w:val="28"/>
                <w:rtl/>
              </w:rPr>
            </w:pPr>
            <w:r w:rsidRPr="007D3CB7">
              <w:rPr>
                <w:rFonts w:hint="cs"/>
                <w:sz w:val="28"/>
                <w:szCs w:val="28"/>
                <w:rtl/>
              </w:rPr>
              <w:t>هي النفقات رؤوس الاموال العينيه(الماديه)</w:t>
            </w:r>
          </w:p>
        </w:tc>
        <w:tc>
          <w:tcPr>
            <w:tcW w:w="2766" w:type="dxa"/>
          </w:tcPr>
          <w:p w:rsidR="00AD350A" w:rsidRPr="007D3CB7" w:rsidRDefault="00AD350A" w:rsidP="0091441F">
            <w:pPr>
              <w:rPr>
                <w:sz w:val="28"/>
                <w:szCs w:val="28"/>
                <w:rtl/>
              </w:rPr>
            </w:pPr>
            <w:r w:rsidRPr="007D3CB7">
              <w:rPr>
                <w:rFonts w:hint="cs"/>
                <w:sz w:val="28"/>
                <w:szCs w:val="28"/>
                <w:rtl/>
              </w:rPr>
              <w:t>هي النفقات التي تساهم في تكوين رؤوس الاموال العينيه</w:t>
            </w:r>
          </w:p>
        </w:tc>
      </w:tr>
    </w:tbl>
    <w:p w:rsidR="00AD350A" w:rsidRDefault="00AD350A" w:rsidP="00AD350A">
      <w:pPr>
        <w:rPr>
          <w:b/>
          <w:bCs/>
          <w:sz w:val="28"/>
          <w:szCs w:val="28"/>
          <w:rtl/>
        </w:rPr>
      </w:pPr>
      <w:r w:rsidRPr="00995755">
        <w:rPr>
          <w:rFonts w:hint="cs"/>
          <w:b/>
          <w:bCs/>
          <w:sz w:val="28"/>
          <w:szCs w:val="28"/>
          <w:rtl/>
        </w:rPr>
        <w:t xml:space="preserve"> </w:t>
      </w:r>
    </w:p>
    <w:p w:rsidR="00C16F24" w:rsidRPr="00AD350A" w:rsidRDefault="00C16F24" w:rsidP="00AD350A">
      <w:bookmarkStart w:id="0" w:name="_GoBack"/>
      <w:bookmarkEnd w:id="0"/>
    </w:p>
    <w:sectPr w:rsidR="00C16F24" w:rsidRPr="00AD350A" w:rsidSect="009D2485">
      <w:pgSz w:w="11906" w:h="16838"/>
      <w:pgMar w:top="1440" w:right="1800" w:bottom="1440" w:left="1800" w:header="708" w:footer="708" w:gutter="0"/>
      <w:pgBorders w:offsetFrom="page">
        <w:top w:val="threeDEngrave" w:sz="48" w:space="24" w:color="auto"/>
        <w:left w:val="threeDEngrave" w:sz="48" w:space="24" w:color="auto"/>
        <w:bottom w:val="threeDEmboss" w:sz="48" w:space="24" w:color="auto"/>
        <w:right w:val="threeDEmboss" w:sz="4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7153"/>
    <w:multiLevelType w:val="hybridMultilevel"/>
    <w:tmpl w:val="2FA8B8E8"/>
    <w:lvl w:ilvl="0" w:tplc="9DFC5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20B03"/>
    <w:multiLevelType w:val="hybridMultilevel"/>
    <w:tmpl w:val="A4F85516"/>
    <w:lvl w:ilvl="0" w:tplc="6584E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F1497"/>
    <w:multiLevelType w:val="hybridMultilevel"/>
    <w:tmpl w:val="1892ED22"/>
    <w:lvl w:ilvl="0" w:tplc="0AAE0E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039DD"/>
    <w:multiLevelType w:val="hybridMultilevel"/>
    <w:tmpl w:val="B31815F4"/>
    <w:lvl w:ilvl="0" w:tplc="10A6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D7E37"/>
    <w:multiLevelType w:val="hybridMultilevel"/>
    <w:tmpl w:val="D94610E6"/>
    <w:lvl w:ilvl="0" w:tplc="33084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D6F94"/>
    <w:multiLevelType w:val="hybridMultilevel"/>
    <w:tmpl w:val="BE927912"/>
    <w:lvl w:ilvl="0" w:tplc="03843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81D83"/>
    <w:multiLevelType w:val="hybridMultilevel"/>
    <w:tmpl w:val="8006EB6A"/>
    <w:lvl w:ilvl="0" w:tplc="46A2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85BBC"/>
    <w:multiLevelType w:val="hybridMultilevel"/>
    <w:tmpl w:val="18A616C4"/>
    <w:lvl w:ilvl="0" w:tplc="9612A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60E49"/>
    <w:multiLevelType w:val="hybridMultilevel"/>
    <w:tmpl w:val="7A6260A0"/>
    <w:lvl w:ilvl="0" w:tplc="9FD079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B25E4C"/>
    <w:multiLevelType w:val="hybridMultilevel"/>
    <w:tmpl w:val="1DFCD702"/>
    <w:lvl w:ilvl="0" w:tplc="6C1AB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B1443"/>
    <w:multiLevelType w:val="hybridMultilevel"/>
    <w:tmpl w:val="3AE60EE6"/>
    <w:lvl w:ilvl="0" w:tplc="55B6A2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56FD8"/>
    <w:multiLevelType w:val="hybridMultilevel"/>
    <w:tmpl w:val="361AF096"/>
    <w:lvl w:ilvl="0" w:tplc="FD520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82638"/>
    <w:multiLevelType w:val="hybridMultilevel"/>
    <w:tmpl w:val="D1483822"/>
    <w:lvl w:ilvl="0" w:tplc="EB2C8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F6438"/>
    <w:multiLevelType w:val="hybridMultilevel"/>
    <w:tmpl w:val="71FC5E34"/>
    <w:lvl w:ilvl="0" w:tplc="64629B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020EE0"/>
    <w:multiLevelType w:val="hybridMultilevel"/>
    <w:tmpl w:val="46E080F4"/>
    <w:lvl w:ilvl="0" w:tplc="5E2A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31E40"/>
    <w:multiLevelType w:val="hybridMultilevel"/>
    <w:tmpl w:val="4A643B06"/>
    <w:lvl w:ilvl="0" w:tplc="CB922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0F473C"/>
    <w:multiLevelType w:val="hybridMultilevel"/>
    <w:tmpl w:val="FCEEC70C"/>
    <w:lvl w:ilvl="0" w:tplc="D56C1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053484"/>
    <w:multiLevelType w:val="hybridMultilevel"/>
    <w:tmpl w:val="B9BE256A"/>
    <w:lvl w:ilvl="0" w:tplc="E806E6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D96410"/>
    <w:multiLevelType w:val="hybridMultilevel"/>
    <w:tmpl w:val="5E74F460"/>
    <w:lvl w:ilvl="0" w:tplc="2814D4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16BC6"/>
    <w:multiLevelType w:val="hybridMultilevel"/>
    <w:tmpl w:val="2FE61992"/>
    <w:lvl w:ilvl="0" w:tplc="BCD6E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3"/>
  </w:num>
  <w:num w:numId="4">
    <w:abstractNumId w:val="5"/>
  </w:num>
  <w:num w:numId="5">
    <w:abstractNumId w:val="2"/>
  </w:num>
  <w:num w:numId="6">
    <w:abstractNumId w:val="14"/>
  </w:num>
  <w:num w:numId="7">
    <w:abstractNumId w:val="12"/>
  </w:num>
  <w:num w:numId="8">
    <w:abstractNumId w:val="4"/>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9"/>
  </w:num>
  <w:num w:numId="14">
    <w:abstractNumId w:val="1"/>
  </w:num>
  <w:num w:numId="15">
    <w:abstractNumId w:val="6"/>
  </w:num>
  <w:num w:numId="16">
    <w:abstractNumId w:val="15"/>
  </w:num>
  <w:num w:numId="17">
    <w:abstractNumId w:val="0"/>
  </w:num>
  <w:num w:numId="18">
    <w:abstractNumId w:val="18"/>
  </w:num>
  <w:num w:numId="19">
    <w:abstractNumId w:val="19"/>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D"/>
    <w:rsid w:val="000039C9"/>
    <w:rsid w:val="00005827"/>
    <w:rsid w:val="002314F4"/>
    <w:rsid w:val="00487F5C"/>
    <w:rsid w:val="00515ABC"/>
    <w:rsid w:val="008A194D"/>
    <w:rsid w:val="00913420"/>
    <w:rsid w:val="009D2485"/>
    <w:rsid w:val="00AD350A"/>
    <w:rsid w:val="00B11909"/>
    <w:rsid w:val="00B71901"/>
    <w:rsid w:val="00BF3D11"/>
    <w:rsid w:val="00C16F24"/>
    <w:rsid w:val="00CB2529"/>
    <w:rsid w:val="00D66ECD"/>
    <w:rsid w:val="00D80389"/>
    <w:rsid w:val="00DB5240"/>
    <w:rsid w:val="00F76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tayooba</dc:creator>
  <cp:lastModifiedBy>tayooba</cp:lastModifiedBy>
  <cp:revision>16</cp:revision>
  <dcterms:created xsi:type="dcterms:W3CDTF">2018-12-14T14:31:00Z</dcterms:created>
  <dcterms:modified xsi:type="dcterms:W3CDTF">2018-12-14T15:29:00Z</dcterms:modified>
</cp:coreProperties>
</file>