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COCCIDIA (SPOROZOA)</w:t>
      </w:r>
    </w:p>
    <w:p w:rsidR="006D6DC1" w:rsidRPr="006D6DC1" w:rsidRDefault="006D6DC1" w:rsidP="006D6DC1">
      <w:pPr>
        <w:tabs>
          <w:tab w:val="left" w:pos="3879"/>
        </w:tabs>
        <w:bidi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ab/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Coccidia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are members of the class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sporozoa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, Phylum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Apicomplexa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>. Apical complex is present at some stage and consists of elements visible with electron microscope. The life cycle is characterized by an alternation of generations, i.e. sexual (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gametogony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>) and asexual (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schizogony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>) reproduction and most members of the group also share alternative hosts. The locomotion of a mature organism is by body : flexion, gliding, or undulation of longitudinal ridges. The genus Plasmodium that are the causes of malaria is the prototype of this class.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1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Plasmodium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 species– causes malaria. 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2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Toxoplasma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gondii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 – causes toxoplasmosis.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3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 – causes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>cyclosporiasis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4.</w:t>
      </w:r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Isospora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belli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 – causes coccidiosis(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>Isosporiasis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>).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5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>Sarcocystis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 species.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6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Cryptosporidium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parvum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– causes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cryptosporidiosis</w:t>
      </w:r>
      <w:r w:rsidRPr="006D6DC1">
        <w:rPr>
          <w:rFonts w:ascii="Times New Roman" w:eastAsia="Times New Roman" w:hAnsi="Times New Roman" w:cs="Times New Roman"/>
          <w:color w:val="000000"/>
        </w:rPr>
        <w:t>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Coccidia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are a group of organisms which parasitize the epithelial cells of the intestinal tract. This group includes: 1. Cryptosporidium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parvum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, 2.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and 3.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Isospora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belli. Most of the coccidian infections in man are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zoonoses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(having the potential to infect animals or arise from animals). In immunocompetent individuals, they usually produce mild, self-limiting infections.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6D6DC1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 xml:space="preserve">Cryptosporidium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parvum</w:t>
      </w:r>
      <w:proofErr w:type="spellEnd"/>
      <w:r w:rsidRPr="006D6DC1">
        <w:rPr>
          <w:rFonts w:ascii="Times New Roman" w:eastAsia="Times New Roman" w:hAnsi="Times New Roman" w:cs="Times New Roman"/>
          <w:color w:val="FF0000"/>
        </w:rPr>
        <w:t xml:space="preserve"> ………………..1 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The main symptom of which is diarrhea. It is most severe 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immunocompromized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patients, e.g., those with AIDS. The organism is acquired by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faecal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-oral transmission of Oocysts from either human or animal sources. The oocysts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excyst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in the small intestine, where the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trophozoite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(and other forms) attach to the gut wall. Invasion does not occur. The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jejunum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is the site most heavily infested. The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pathogenesis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of the diarrhea is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un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known;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no toxin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has been identified. Cryptosporidium causes diarrhea worldwide, for large outbreaks of diarrhea caused by Cryptosporidium are attributed to inadequate purification of drinking water. The disease 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immunocompromized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patients presents primarily as a watery, non-bloody diarrhea causing large fluid loss.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Symptoms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persist for long periods 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immunocompromized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patients, whereas self-limited in immunocompetent individuals. Although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immunocompromized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patients usually do not die of cryptosporidiosis, the fluid loss and malnutrition are severely debilitating.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Diagnosis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is made by finding oocysts in fecal smears when using a modified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Kinyoum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acid–fast stain. Serological tests are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 xml:space="preserve">not 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available. There is </w:t>
      </w:r>
      <w:r w:rsidRPr="006D6DC1">
        <w:rPr>
          <w:rFonts w:ascii="Times New Roman" w:eastAsia="Times New Roman" w:hAnsi="Times New Roman" w:cs="Times New Roman"/>
          <w:b/>
          <w:bCs/>
          <w:color w:val="000000"/>
        </w:rPr>
        <w:t>no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effective drug therapy.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bidi w:val="0"/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59264" behindDoc="0" locked="0" layoutInCell="1" allowOverlap="1" wp14:anchorId="1339BF41" wp14:editId="296AEAB8">
            <wp:simplePos x="0" y="0"/>
            <wp:positionH relativeFrom="column">
              <wp:posOffset>638175</wp:posOffset>
            </wp:positionH>
            <wp:positionV relativeFrom="paragraph">
              <wp:posOffset>109220</wp:posOffset>
            </wp:positionV>
            <wp:extent cx="4895850" cy="3257550"/>
            <wp:effectExtent l="0" t="0" r="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6DC1" w:rsidRPr="006D6DC1" w:rsidRDefault="006D6DC1" w:rsidP="006D6DC1">
      <w:pPr>
        <w:tabs>
          <w:tab w:val="center" w:pos="2323"/>
        </w:tabs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br w:type="textWrapping" w:clear="all"/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>Figure : life cycle of Cryptosporidium species.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noProof/>
          <w:color w:val="000000"/>
          <w:rtl/>
        </w:rPr>
        <w:drawing>
          <wp:inline distT="0" distB="0" distL="0" distR="0" wp14:anchorId="05BB60FA" wp14:editId="0083F8EB">
            <wp:extent cx="5029200" cy="34290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131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 wp14:anchorId="61F0F548" wp14:editId="73FEC7E9">
            <wp:extent cx="2736376" cy="1665026"/>
            <wp:effectExtent l="0" t="0" r="698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83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>Figure : Acid-fast stained Cryptosporidium oocyst.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82B83" wp14:editId="3BB9E96D">
                <wp:simplePos x="0" y="0"/>
                <wp:positionH relativeFrom="column">
                  <wp:posOffset>419100</wp:posOffset>
                </wp:positionH>
                <wp:positionV relativeFrom="paragraph">
                  <wp:posOffset>1076325</wp:posOffset>
                </wp:positionV>
                <wp:extent cx="523875" cy="142875"/>
                <wp:effectExtent l="0" t="0" r="28575" b="28575"/>
                <wp:wrapNone/>
                <wp:docPr id="4" name="سهم إلى اليسا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42875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4" o:spid="_x0000_s1026" type="#_x0000_t66" style="position:absolute;left:0;text-align:left;margin-left:33pt;margin-top:84.75pt;width:4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" adj="2945" fillcolor="#4f81bd" strokecolor="#385d8a" strokeweight="2pt"/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663CD436" wp14:editId="46A5FEBF">
            <wp:extent cx="1847850" cy="1473138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87" cy="147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Fig.:Oocysts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of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Cryptosporidium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parvum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(lower left) stained red with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Ziehl-Neelsen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stain.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jc w:val="lowKashida"/>
        <w:rPr>
          <w:rFonts w:ascii="Times New Roman" w:eastAsia="Times New Roman" w:hAnsi="Times New Roman" w:cs="Times New Roman"/>
          <w:b/>
          <w:bCs/>
          <w:color w:val="FF0000"/>
        </w:rPr>
      </w:pP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b/>
          <w:bCs/>
          <w:color w:val="FF0000"/>
        </w:rPr>
        <w:t xml:space="preserve"> …………………2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>, a coccidian protozoan, has been described in association with diarrheal illness in various countries, in particular Nepal, Pakistan and India.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color w:val="000000"/>
        </w:rPr>
        <w:t>Infection results in a disease with non-specific symptoms. Quite often the disease is the cause of unexplained summer diarrheal illness and similar illness following travel to tropical areas.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Is an intestinal protozoan that causes watery diarrhea in both immunocompetent and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immunocompomised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individuals. It is classified as a member of the Coccidian; the organism is acquired by fecal – oral transmission, especially via contaminated water supplies. There is no evidence for an animal reservoir. The diarrhea can be prolonged and relapsing, especially 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immunocompromized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patients. Infection occurs worldwide.</w:t>
      </w:r>
      <w:bookmarkStart w:id="0" w:name="_GoBack"/>
      <w:bookmarkEnd w:id="0"/>
    </w:p>
    <w:p w:rsidR="006D6DC1" w:rsidRPr="006D6DC1" w:rsidRDefault="006D6DC1" w:rsidP="006D6DC1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Life Cycle and Morphology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The life cycle of this organism is unknown, however environmental data suggest that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, like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Cryptosporidium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 species, is a water-borne parasite. The oocysts of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C.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are spherical, measuring 8-10µm in diameter and the mature oocyst contains 2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lastRenderedPageBreak/>
        <w:t>sporocysts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. Oocysts of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, are twice as large in comparison with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C.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parvum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and are not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sporulated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(do not contain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sporocysts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- upon excretion).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When freshly passed in stools, the oocyst is not infective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692ACB23" wp14:editId="29BFF12E">
                <wp:extent cx="133350" cy="133350"/>
                <wp:effectExtent l="0" t="0" r="0" b="0"/>
                <wp:docPr id="112" name="AutoShape 223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3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O9S6eL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>(thus, direct fecal-oral transmission cannot occur; this differentiates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from another important coccidian parasite,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Cryptosporidium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).  In the environment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43944807" wp14:editId="2A9C17F9">
                <wp:extent cx="133350" cy="133350"/>
                <wp:effectExtent l="0" t="0" r="0" b="0"/>
                <wp:docPr id="111" name="AutoShape 224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4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yW0FHb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 xml:space="preserve">, sporulation occurs after days or weeks at temperatures between 22°C to 32°C, resulting in division of the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sporont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into two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sporocysts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, each containing two elongate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sporozoites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415086B8" wp14:editId="494D23D3">
                <wp:extent cx="133350" cy="133350"/>
                <wp:effectExtent l="0" t="0" r="0" b="0"/>
                <wp:docPr id="110" name="AutoShape 225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5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 xml:space="preserve">.  Fresh produce and water can serve as vehicles for transmission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2F642D78" wp14:editId="313129F0">
                <wp:extent cx="133350" cy="133350"/>
                <wp:effectExtent l="0" t="0" r="0" b="0"/>
                <wp:docPr id="109" name="AutoShape 226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6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Ao0YQ7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 xml:space="preserve">and the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sporulated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oocysts are ingested (in contaminated food or water)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4622B1C1" wp14:editId="3C0A2396">
                <wp:extent cx="133350" cy="133350"/>
                <wp:effectExtent l="0" t="0" r="0" b="0"/>
                <wp:docPr id="108" name="AutoShape 227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7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oZg5Yr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 xml:space="preserve">.  The oocysts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excyst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in the gastrointestinal tract, freeing the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sporozoites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which invade the epithelial cells of the small intestine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6C040F9A" wp14:editId="72D7662D">
                <wp:extent cx="133350" cy="133350"/>
                <wp:effectExtent l="0" t="0" r="0" b="0"/>
                <wp:docPr id="107" name="AutoShape 228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8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kVunV7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 xml:space="preserve">.  Inside the cells they undergo asexual multiplication and sexual development to mature into oocysts, which will be shed in stools </w:t>
      </w:r>
      <w:r w:rsidRPr="006D6DC1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inline distT="0" distB="0" distL="0" distR="0" wp14:anchorId="4C77C774" wp14:editId="2A2B97C4">
                <wp:extent cx="133350" cy="133350"/>
                <wp:effectExtent l="0" t="0" r="0" b="0"/>
                <wp:docPr id="106" name="AutoShape 229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9" o:spid="_x0000_s1026" alt=" 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color w:val="000000"/>
        </w:rPr>
        <w:t>.  The potential mechanisms of contamination of food and water are still under investigation.</w:t>
      </w:r>
    </w:p>
    <w:p w:rsidR="006D6DC1" w:rsidRPr="006D6DC1" w:rsidRDefault="006D6DC1" w:rsidP="006D6DC1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Clinical Disease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Patients from whose stools the organism has been isolated have reported nausea, vomiting, weight loss and explosive watery diarrhea. Flatulence and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bloatedness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>, nausea and vomiting, myalgia, low-grade fever, and fatigue are associated symptoms. The site of infection is the small bowel. The disease is usually self-limiting to three to four days but untreated infections can last from several days to a month or longer, and may follow a relapsing course. Some infections are asymptomatic. </w:t>
      </w:r>
    </w:p>
    <w:p w:rsidR="006D6DC1" w:rsidRPr="006D6DC1" w:rsidRDefault="006D6DC1" w:rsidP="006D6DC1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FF0000"/>
        </w:rPr>
      </w:pPr>
      <w:r w:rsidRPr="006D6DC1">
        <w:rPr>
          <w:rFonts w:ascii="Times New Roman" w:eastAsia="Times New Roman" w:hAnsi="Times New Roman" w:cs="Times New Roman"/>
          <w:b/>
          <w:bCs/>
          <w:color w:val="FF0000"/>
        </w:rPr>
        <w:t>Laboratory Diagnosis</w:t>
      </w:r>
    </w:p>
    <w:p w:rsidR="006D6DC1" w:rsidRPr="006D6DC1" w:rsidRDefault="006D6DC1" w:rsidP="006D6DC1">
      <w:pPr>
        <w:bidi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The oocysts of </w:t>
      </w:r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C.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are spherical as can be seen in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formol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-ether concentrated stool samples by light microscopy. They are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refractile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spheres which exhibit blue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autofluorescence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under ultraviolet light.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The oocysts are variably acid-fast when stained by the modified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Ziehl-Neelsen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method. Some cysts are acid-fast whereas others appear as round holes against a green background. They do not stain well with phenol-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auramine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>The diagnosis is made microscopically by observing the spherical oocysts in a modified acid-fast stain of a stool sample. There are no serologic tests.??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lowKashida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>The treatment of choice is trimethoprim-sulfamethoxazole.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9FFE2" wp14:editId="2E8A7E75">
                <wp:simplePos x="0" y="0"/>
                <wp:positionH relativeFrom="column">
                  <wp:posOffset>3181350</wp:posOffset>
                </wp:positionH>
                <wp:positionV relativeFrom="paragraph">
                  <wp:posOffset>105411</wp:posOffset>
                </wp:positionV>
                <wp:extent cx="646430" cy="171450"/>
                <wp:effectExtent l="0" t="19050" r="39370" b="38100"/>
                <wp:wrapNone/>
                <wp:docPr id="5" name="سهم إلى اليمي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" cy="1714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5" o:spid="_x0000_s1026" type="#_x0000_t13" style="position:absolute;left:0;text-align:left;margin-left:250.5pt;margin-top:8.3pt;width:50.9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" adj="18736" fillcolor="#4f81bd" strokecolor="#385d8a" strokeweight="2pt"/>
            </w:pict>
          </mc:Fallback>
        </mc:AlternateContent>
      </w:r>
      <w:r w:rsidRPr="006D6DC1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122223ED" wp14:editId="42C8F145">
            <wp:extent cx="2811439" cy="1473958"/>
            <wp:effectExtent l="0" t="0" r="825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908" cy="147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color w:val="000000"/>
        </w:rPr>
      </w:pP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Fig.:Oocyst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of 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6D6DC1">
        <w:rPr>
          <w:rFonts w:ascii="Times New Roman" w:eastAsia="Times New Roman" w:hAnsi="Times New Roman" w:cs="Times New Roman"/>
          <w:color w:val="000000"/>
        </w:rPr>
        <w:t xml:space="preserve">(upper right)stained red with </w:t>
      </w:r>
      <w:proofErr w:type="spellStart"/>
      <w:r w:rsidRPr="006D6DC1">
        <w:rPr>
          <w:rFonts w:ascii="Times New Roman" w:eastAsia="Times New Roman" w:hAnsi="Times New Roman" w:cs="Times New Roman"/>
          <w:color w:val="000000"/>
        </w:rPr>
        <w:t>Ziehl-Neelsen</w:t>
      </w:r>
      <w:proofErr w:type="spellEnd"/>
      <w:r w:rsidRPr="006D6DC1">
        <w:rPr>
          <w:rFonts w:ascii="Times New Roman" w:eastAsia="Times New Roman" w:hAnsi="Times New Roman" w:cs="Times New Roman"/>
          <w:color w:val="000000"/>
        </w:rPr>
        <w:t xml:space="preserve"> stain.</w:t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</w:rPr>
      </w:pP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D6DC1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31DCCA6B" wp14:editId="7E4E495A">
            <wp:extent cx="2715904" cy="1228298"/>
            <wp:effectExtent l="0" t="0" r="8255" b="0"/>
            <wp:docPr id="8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849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DC1" w:rsidRPr="006D6DC1" w:rsidRDefault="006D6DC1" w:rsidP="006D6DC1">
      <w:pPr>
        <w:autoSpaceDE w:val="0"/>
        <w:autoSpaceDN w:val="0"/>
        <w:bidi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color w:val="000000"/>
        </w:rPr>
      </w:pPr>
      <w:r w:rsidRPr="006D6DC1">
        <w:rPr>
          <w:rFonts w:ascii="Times New Roman" w:eastAsia="Times New Roman" w:hAnsi="Times New Roman" w:cs="Times New Roman"/>
          <w:color w:val="000000"/>
        </w:rPr>
        <w:t xml:space="preserve">Figure : Oocyst of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cyclospora</w:t>
      </w:r>
      <w:proofErr w:type="spellEnd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6D6DC1">
        <w:rPr>
          <w:rFonts w:ascii="Times New Roman" w:eastAsia="Times New Roman" w:hAnsi="Times New Roman" w:cs="Times New Roman"/>
          <w:i/>
          <w:iCs/>
          <w:color w:val="000000"/>
        </w:rPr>
        <w:t>cayetanensis</w:t>
      </w:r>
      <w:proofErr w:type="spellEnd"/>
    </w:p>
    <w:p w:rsidR="0093505F" w:rsidRDefault="0093505F" w:rsidP="00E574A5">
      <w:pPr>
        <w:jc w:val="right"/>
        <w:rPr>
          <w:rFonts w:hint="cs"/>
          <w:rtl/>
          <w:lang w:bidi="ar-IQ"/>
        </w:rPr>
      </w:pPr>
    </w:p>
    <w:sectPr w:rsidR="0093505F" w:rsidSect="007B572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4E"/>
    <w:rsid w:val="0020474E"/>
    <w:rsid w:val="006D6DC1"/>
    <w:rsid w:val="007B5727"/>
    <w:rsid w:val="0093505F"/>
    <w:rsid w:val="00E5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6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6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6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6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916</Words>
  <Characters>5222</Characters>
  <Application>Microsoft Office Word</Application>
  <DocSecurity>0</DocSecurity>
  <Lines>43</Lines>
  <Paragraphs>12</Paragraphs>
  <ScaleCrop>false</ScaleCrop>
  <Company>Enjoy My Fine Releases.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</cp:revision>
  <dcterms:created xsi:type="dcterms:W3CDTF">2016-12-05T20:41:00Z</dcterms:created>
  <dcterms:modified xsi:type="dcterms:W3CDTF">2016-12-05T20:42:00Z</dcterms:modified>
</cp:coreProperties>
</file>