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01" w:rsidRDefault="00072F8B" w:rsidP="00072F8B">
      <w:pPr>
        <w:bidi w:val="0"/>
        <w:rPr>
          <w:lang w:bidi="ar-IQ"/>
        </w:rPr>
      </w:pPr>
      <w:r>
        <w:rPr>
          <w:lang w:bidi="ar-IQ"/>
        </w:rPr>
        <w:t>Leture # 6</w:t>
      </w:r>
    </w:p>
    <w:p w:rsidR="00072F8B" w:rsidRDefault="00072F8B" w:rsidP="00072F8B">
      <w:pPr>
        <w:bidi w:val="0"/>
        <w:rPr>
          <w:lang w:bidi="ar-IQ"/>
        </w:rPr>
      </w:pPr>
      <w:r>
        <w:rPr>
          <w:rFonts w:ascii="Helvetica-Bold" w:cs="Helvetica-Bold"/>
          <w:b/>
          <w:bCs/>
          <w:sz w:val="24"/>
          <w:szCs w:val="24"/>
        </w:rPr>
        <w:t xml:space="preserve"> DOSE</w:t>
      </w:r>
      <w:r>
        <w:rPr>
          <w:rFonts w:ascii="Helvetica-Bold" w:cs="Helvetica-Bold" w:hint="cs"/>
          <w:b/>
          <w:bCs/>
          <w:sz w:val="24"/>
          <w:szCs w:val="24"/>
        </w:rPr>
        <w:t>–</w:t>
      </w:r>
      <w:r>
        <w:rPr>
          <w:rFonts w:ascii="Helvetica-Bold" w:cs="Helvetica-Bold"/>
          <w:b/>
          <w:bCs/>
          <w:sz w:val="24"/>
          <w:szCs w:val="24"/>
        </w:rPr>
        <w:t>RESPONSE RELATIONSHIPS</w:t>
      </w:r>
    </w:p>
    <w:p w:rsidR="00072F8B" w:rsidRDefault="00072F8B" w:rsidP="00072F8B">
      <w:pPr>
        <w:autoSpaceDE w:val="0"/>
        <w:autoSpaceDN w:val="0"/>
        <w:bidi w:val="0"/>
        <w:adjustRightInd w:val="0"/>
        <w:spacing w:after="0" w:line="240" w:lineRule="auto"/>
        <w:rPr>
          <w:rFonts w:ascii="Helvetica-Bold" w:cs="Helvetica-Bold"/>
          <w:b/>
          <w:bCs/>
          <w:sz w:val="20"/>
          <w:szCs w:val="20"/>
        </w:rPr>
      </w:pPr>
      <w:r>
        <w:rPr>
          <w:rFonts w:ascii="Helvetica-Bold" w:cs="Helvetica-Bold"/>
          <w:b/>
          <w:bCs/>
          <w:sz w:val="20"/>
          <w:szCs w:val="20"/>
        </w:rPr>
        <w:t>A. Graded dose</w:t>
      </w:r>
      <w:r>
        <w:rPr>
          <w:rFonts w:ascii="Helvetica-Bold" w:cs="Helvetica-Bold" w:hint="cs"/>
          <w:b/>
          <w:bCs/>
          <w:sz w:val="20"/>
          <w:szCs w:val="20"/>
        </w:rPr>
        <w:t>–</w:t>
      </w:r>
      <w:r>
        <w:rPr>
          <w:rFonts w:ascii="Helvetica-Bold" w:cs="Helvetica-Bold"/>
          <w:b/>
          <w:bCs/>
          <w:sz w:val="20"/>
          <w:szCs w:val="20"/>
        </w:rPr>
        <w:t>response relations</w:t>
      </w:r>
    </w:p>
    <w:p w:rsidR="00072F8B" w:rsidRDefault="00072F8B" w:rsidP="00072F8B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As the concentration of a drug increases, its pharmacologic effect also</w:t>
      </w:r>
    </w:p>
    <w:p w:rsidR="00072F8B" w:rsidRDefault="00072F8B" w:rsidP="00072F8B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gradually increases until all the receptors are occupied (the maximum</w:t>
      </w:r>
    </w:p>
    <w:p w:rsidR="00072F8B" w:rsidRDefault="00072F8B" w:rsidP="00072F8B">
      <w:pPr>
        <w:bidi w:val="0"/>
        <w:rPr>
          <w:lang w:bidi="ar-IQ"/>
        </w:rPr>
      </w:pPr>
      <w:r>
        <w:rPr>
          <w:rFonts w:ascii="Helvetica" w:hAnsi="Helvetica" w:cs="Helvetica"/>
          <w:sz w:val="20"/>
          <w:szCs w:val="20"/>
        </w:rPr>
        <w:t>effect).</w:t>
      </w:r>
    </w:p>
    <w:p w:rsidR="00072F8B" w:rsidRDefault="00072F8B" w:rsidP="00072F8B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-Bold" w:cs="Helvetica-Bold"/>
          <w:b/>
          <w:bCs/>
          <w:sz w:val="20"/>
          <w:szCs w:val="20"/>
        </w:rPr>
        <w:t xml:space="preserve">1. Potency: </w:t>
      </w:r>
      <w:r>
        <w:rPr>
          <w:rFonts w:ascii="Helvetica" w:hAnsi="Helvetica" w:cs="Helvetica"/>
          <w:sz w:val="20"/>
          <w:szCs w:val="20"/>
        </w:rPr>
        <w:t>Potency is a measure of the amount of drug necessary</w:t>
      </w:r>
    </w:p>
    <w:p w:rsidR="00072F8B" w:rsidRDefault="00072F8B" w:rsidP="00072F8B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to produce an effect of a given magnitude. The concentration</w:t>
      </w:r>
    </w:p>
    <w:p w:rsidR="00072F8B" w:rsidRDefault="00072F8B" w:rsidP="00072F8B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of drug producing 50% of the maximum effect (EC</w:t>
      </w:r>
      <w:r>
        <w:rPr>
          <w:rFonts w:ascii="Helvetica" w:hAnsi="Helvetica" w:cs="Helvetica"/>
          <w:sz w:val="12"/>
          <w:szCs w:val="12"/>
        </w:rPr>
        <w:t>50</w:t>
      </w:r>
      <w:r>
        <w:rPr>
          <w:rFonts w:ascii="Helvetica" w:hAnsi="Helvetica" w:cs="Helvetica"/>
          <w:sz w:val="20"/>
          <w:szCs w:val="20"/>
        </w:rPr>
        <w:t>) is</w:t>
      </w:r>
    </w:p>
    <w:p w:rsidR="00072F8B" w:rsidRDefault="00072F8B" w:rsidP="00072F8B">
      <w:pPr>
        <w:bidi w:val="0"/>
        <w:rPr>
          <w:lang w:bidi="ar-IQ"/>
        </w:rPr>
      </w:pPr>
      <w:r>
        <w:rPr>
          <w:rFonts w:ascii="Helvetica" w:hAnsi="Helvetica" w:cs="Helvetica"/>
          <w:sz w:val="20"/>
          <w:szCs w:val="20"/>
        </w:rPr>
        <w:t>usually used to determine potency.</w:t>
      </w:r>
    </w:p>
    <w:p w:rsidR="00072F8B" w:rsidRDefault="00072F8B" w:rsidP="00072F8B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-Bold" w:cs="Helvetica-Bold"/>
          <w:b/>
          <w:bCs/>
          <w:sz w:val="20"/>
          <w:szCs w:val="20"/>
        </w:rPr>
        <w:t xml:space="preserve">2. Efficacy: </w:t>
      </w:r>
      <w:r>
        <w:rPr>
          <w:rFonts w:ascii="Helvetica" w:hAnsi="Helvetica" w:cs="Helvetica"/>
          <w:sz w:val="20"/>
          <w:szCs w:val="20"/>
        </w:rPr>
        <w:t>Efficacy is the magnitude of response a drug causes when</w:t>
      </w:r>
    </w:p>
    <w:p w:rsidR="00072F8B" w:rsidRDefault="00072F8B" w:rsidP="00072F8B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it interacts with a receptor. Efficacy is dependent on the number of</w:t>
      </w:r>
    </w:p>
    <w:p w:rsidR="00072F8B" w:rsidRDefault="00072F8B" w:rsidP="00072F8B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drug–receptor complexes formed and the intrinsic activity of the drug</w:t>
      </w:r>
    </w:p>
    <w:p w:rsidR="00072F8B" w:rsidRDefault="00072F8B" w:rsidP="00072F8B">
      <w:pPr>
        <w:bidi w:val="0"/>
        <w:rPr>
          <w:lang w:bidi="ar-IQ"/>
        </w:rPr>
      </w:pPr>
      <w:r>
        <w:rPr>
          <w:rFonts w:ascii="Helvetica" w:hAnsi="Helvetica" w:cs="Helvetica"/>
          <w:sz w:val="20"/>
          <w:szCs w:val="20"/>
        </w:rPr>
        <w:t>(its ability to activate the receptor and cause a cellular response).</w:t>
      </w:r>
    </w:p>
    <w:p w:rsidR="00072F8B" w:rsidRDefault="00072F8B" w:rsidP="00072F8B">
      <w:pPr>
        <w:bidi w:val="0"/>
        <w:rPr>
          <w:lang w:bidi="ar-IQ"/>
        </w:rPr>
      </w:pPr>
      <w:r>
        <w:rPr>
          <w:rFonts w:ascii="Helvetica-Bold" w:cs="Helvetica-Bold"/>
          <w:b/>
          <w:bCs/>
          <w:sz w:val="20"/>
          <w:szCs w:val="20"/>
        </w:rPr>
        <w:t>B. Effect of drug concentration on receptor binding</w:t>
      </w:r>
    </w:p>
    <w:p w:rsidR="00072F8B" w:rsidRDefault="00072F8B" w:rsidP="00072F8B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The quantitative relationship between drug concentration and receptor</w:t>
      </w:r>
    </w:p>
    <w:p w:rsidR="00072F8B" w:rsidRDefault="00072F8B" w:rsidP="00072F8B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occupancy applies the law of mass action to the kinetics of the</w:t>
      </w:r>
    </w:p>
    <w:p w:rsidR="00072F8B" w:rsidRDefault="00072F8B" w:rsidP="00072F8B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binding of drug and receptor molecules:</w:t>
      </w:r>
    </w:p>
    <w:p w:rsidR="00072F8B" w:rsidRDefault="00072F8B" w:rsidP="00072F8B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072F8B" w:rsidRDefault="00072F8B" w:rsidP="00072F8B">
      <w:pPr>
        <w:bidi w:val="0"/>
        <w:rPr>
          <w:lang w:bidi="ar-IQ"/>
        </w:rPr>
      </w:pPr>
      <w:r>
        <w:rPr>
          <w:rFonts w:ascii="Helvetica" w:hAnsi="Helvetica" w:cs="Helvetica"/>
          <w:sz w:val="20"/>
          <w:szCs w:val="20"/>
        </w:rPr>
        <w:t xml:space="preserve">Drug </w:t>
      </w:r>
      <w:r>
        <w:rPr>
          <w:rFonts w:ascii="Symbol" w:hAnsi="Symbol" w:cs="Symbol"/>
          <w:sz w:val="20"/>
          <w:szCs w:val="20"/>
        </w:rPr>
        <w:t></w:t>
      </w:r>
      <w:r>
        <w:rPr>
          <w:rFonts w:ascii="Helvetica" w:hAnsi="Helvetica" w:cs="Helvetica"/>
          <w:sz w:val="20"/>
          <w:szCs w:val="20"/>
        </w:rPr>
        <w:t xml:space="preserve">Receptor </w:t>
      </w:r>
      <w:r>
        <w:rPr>
          <w:rFonts w:ascii="EuclidExtra" w:hAnsi="EuclidExtra" w:cs="EuclidExtra"/>
          <w:sz w:val="20"/>
          <w:szCs w:val="20"/>
        </w:rPr>
        <w:t>_</w:t>
      </w:r>
      <w:r>
        <w:rPr>
          <w:rFonts w:ascii="Helvetica" w:hAnsi="Helvetica" w:cs="Helvetica"/>
          <w:sz w:val="20"/>
          <w:szCs w:val="20"/>
        </w:rPr>
        <w:t>Drug</w:t>
      </w:r>
      <w:r>
        <w:rPr>
          <w:rFonts w:ascii="Symbol" w:hAnsi="Symbol" w:cs="Symbol"/>
          <w:sz w:val="20"/>
          <w:szCs w:val="20"/>
        </w:rPr>
        <w:t>−</w:t>
      </w:r>
      <w:r>
        <w:rPr>
          <w:rFonts w:ascii="Helvetica" w:hAnsi="Helvetica" w:cs="Helvetica"/>
          <w:sz w:val="20"/>
          <w:szCs w:val="20"/>
        </w:rPr>
        <w:t xml:space="preserve">receptor complex </w:t>
      </w:r>
      <w:r>
        <w:rPr>
          <w:rFonts w:ascii="Symbol" w:hAnsi="Symbol" w:cs="Symbol"/>
          <w:sz w:val="20"/>
          <w:szCs w:val="20"/>
        </w:rPr>
        <w:t></w:t>
      </w:r>
      <w:r>
        <w:rPr>
          <w:rFonts w:ascii="Helvetica" w:hAnsi="Helvetica" w:cs="Helvetica"/>
          <w:sz w:val="20"/>
          <w:szCs w:val="20"/>
        </w:rPr>
        <w:t>Biologiceffect</w:t>
      </w:r>
    </w:p>
    <w:p w:rsidR="00072F8B" w:rsidRDefault="00072F8B" w:rsidP="00072F8B">
      <w:pPr>
        <w:bidi w:val="0"/>
        <w:rPr>
          <w:lang w:bidi="ar-IQ"/>
        </w:rPr>
      </w:pPr>
      <w:r>
        <w:rPr>
          <w:rFonts w:ascii="Helvetica-Bold" w:cs="Helvetica-Bold"/>
          <w:b/>
          <w:bCs/>
          <w:sz w:val="20"/>
          <w:szCs w:val="20"/>
        </w:rPr>
        <w:t>C. Relationship of drug binding to pharmacologic effect</w:t>
      </w:r>
    </w:p>
    <w:p w:rsidR="00072F8B" w:rsidRDefault="00072F8B" w:rsidP="00072F8B">
      <w:pPr>
        <w:bidi w:val="0"/>
        <w:rPr>
          <w:lang w:bidi="ar-IQ"/>
        </w:rPr>
      </w:pPr>
      <w:r>
        <w:rPr>
          <w:rFonts w:ascii="Helvetica-Bold" w:cs="Helvetica-Bold"/>
          <w:b/>
          <w:bCs/>
          <w:sz w:val="24"/>
          <w:szCs w:val="24"/>
        </w:rPr>
        <w:t xml:space="preserve"> INTRINSIC ACTIVITY</w:t>
      </w:r>
    </w:p>
    <w:p w:rsidR="00072F8B" w:rsidRDefault="00072F8B" w:rsidP="00072F8B">
      <w:pPr>
        <w:pStyle w:val="a3"/>
        <w:numPr>
          <w:ilvl w:val="0"/>
          <w:numId w:val="1"/>
        </w:numPr>
        <w:bidi w:val="0"/>
        <w:rPr>
          <w:lang w:bidi="ar-IQ"/>
        </w:rPr>
      </w:pPr>
      <w:r w:rsidRPr="00072F8B">
        <w:rPr>
          <w:rFonts w:ascii="Helvetica-Bold" w:cs="Helvetica-Bold"/>
          <w:b/>
          <w:bCs/>
          <w:sz w:val="20"/>
          <w:szCs w:val="20"/>
        </w:rPr>
        <w:t>Full agonists</w:t>
      </w:r>
    </w:p>
    <w:p w:rsidR="00072F8B" w:rsidRDefault="00072F8B" w:rsidP="00072F8B">
      <w:pPr>
        <w:pStyle w:val="a3"/>
        <w:numPr>
          <w:ilvl w:val="0"/>
          <w:numId w:val="1"/>
        </w:numPr>
        <w:bidi w:val="0"/>
        <w:rPr>
          <w:lang w:bidi="ar-IQ"/>
        </w:rPr>
      </w:pPr>
      <w:r>
        <w:rPr>
          <w:rFonts w:ascii="Helvetica-Bold" w:cs="Helvetica-Bold"/>
          <w:b/>
          <w:bCs/>
          <w:sz w:val="20"/>
          <w:szCs w:val="20"/>
        </w:rPr>
        <w:t>Partial agonists</w:t>
      </w:r>
    </w:p>
    <w:p w:rsidR="00072F8B" w:rsidRDefault="00072F8B" w:rsidP="00072F8B">
      <w:pPr>
        <w:pStyle w:val="a3"/>
        <w:numPr>
          <w:ilvl w:val="0"/>
          <w:numId w:val="1"/>
        </w:numPr>
        <w:bidi w:val="0"/>
        <w:rPr>
          <w:lang w:bidi="ar-IQ"/>
        </w:rPr>
      </w:pPr>
      <w:r>
        <w:rPr>
          <w:rFonts w:ascii="Helvetica-Bold" w:cs="Helvetica-Bold"/>
          <w:b/>
          <w:bCs/>
          <w:sz w:val="20"/>
          <w:szCs w:val="20"/>
        </w:rPr>
        <w:t>Inverse agonists</w:t>
      </w:r>
    </w:p>
    <w:p w:rsidR="00072F8B" w:rsidRDefault="0035251C" w:rsidP="00072F8B">
      <w:pPr>
        <w:bidi w:val="0"/>
        <w:rPr>
          <w:lang w:bidi="ar-IQ"/>
        </w:rPr>
      </w:pPr>
      <w:r>
        <w:rPr>
          <w:rFonts w:ascii="Helvetica-Bold" w:cs="Helvetica-Bold"/>
          <w:b/>
          <w:bCs/>
          <w:sz w:val="20"/>
          <w:szCs w:val="20"/>
        </w:rPr>
        <w:t>Antagonists</w:t>
      </w:r>
    </w:p>
    <w:p w:rsidR="0035251C" w:rsidRDefault="0035251C" w:rsidP="0035251C">
      <w:pPr>
        <w:bidi w:val="0"/>
        <w:ind w:left="360"/>
        <w:rPr>
          <w:lang w:bidi="ar-IQ"/>
        </w:rPr>
      </w:pPr>
      <w:r>
        <w:rPr>
          <w:rFonts w:ascii="Helvetica-Bold" w:cs="Helvetica-Bold"/>
          <w:b/>
          <w:bCs/>
          <w:sz w:val="20"/>
          <w:szCs w:val="20"/>
        </w:rPr>
        <w:t xml:space="preserve">       </w:t>
      </w:r>
      <w:r w:rsidRPr="0035251C">
        <w:rPr>
          <w:rFonts w:ascii="Helvetica-Bold" w:cs="Helvetica-Bold"/>
          <w:b/>
          <w:bCs/>
          <w:sz w:val="20"/>
          <w:szCs w:val="20"/>
        </w:rPr>
        <w:t>Competitive antagonists</w:t>
      </w:r>
    </w:p>
    <w:p w:rsidR="0035251C" w:rsidRPr="0035251C" w:rsidRDefault="0035251C" w:rsidP="0035251C">
      <w:pPr>
        <w:pStyle w:val="a3"/>
        <w:autoSpaceDE w:val="0"/>
        <w:autoSpaceDN w:val="0"/>
        <w:bidi w:val="0"/>
        <w:adjustRightInd w:val="0"/>
        <w:spacing w:after="0" w:line="240" w:lineRule="auto"/>
        <w:rPr>
          <w:rFonts w:ascii="Helvetica-Bold" w:cs="Helvetica-Bold"/>
          <w:b/>
          <w:bCs/>
          <w:sz w:val="20"/>
          <w:szCs w:val="20"/>
        </w:rPr>
      </w:pPr>
      <w:r>
        <w:rPr>
          <w:rFonts w:ascii="Helvetica-Bold" w:cs="Helvetica-Bold"/>
          <w:b/>
          <w:bCs/>
          <w:sz w:val="20"/>
          <w:szCs w:val="20"/>
        </w:rPr>
        <w:t xml:space="preserve"> </w:t>
      </w:r>
      <w:r w:rsidRPr="0035251C">
        <w:rPr>
          <w:rFonts w:ascii="Helvetica-Bold" w:cs="Helvetica-Bold"/>
          <w:b/>
          <w:bCs/>
          <w:sz w:val="20"/>
          <w:szCs w:val="20"/>
        </w:rPr>
        <w:t>Irreversible antagonists</w:t>
      </w:r>
      <w:r w:rsidRPr="0035251C">
        <w:rPr>
          <w:rFonts w:ascii="Helvetica-Bold" w:cs="Helvetica-Bold"/>
          <w:b/>
          <w:bCs/>
          <w:sz w:val="20"/>
          <w:szCs w:val="20"/>
        </w:rPr>
        <w:t xml:space="preserve"> </w:t>
      </w:r>
    </w:p>
    <w:p w:rsidR="0035251C" w:rsidRPr="0035251C" w:rsidRDefault="0035251C" w:rsidP="0035251C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</w:t>
      </w:r>
    </w:p>
    <w:p w:rsidR="0035251C" w:rsidRDefault="0035251C" w:rsidP="0035251C">
      <w:pPr>
        <w:bidi w:val="0"/>
        <w:ind w:left="360"/>
        <w:rPr>
          <w:lang w:bidi="ar-IQ"/>
        </w:rPr>
      </w:pPr>
      <w:r>
        <w:rPr>
          <w:rFonts w:ascii="Helvetica-Bold" w:cs="Helvetica-Bold"/>
          <w:b/>
          <w:bCs/>
          <w:sz w:val="20"/>
          <w:szCs w:val="20"/>
        </w:rPr>
        <w:t xml:space="preserve">      </w:t>
      </w:r>
      <w:r w:rsidRPr="0035251C">
        <w:rPr>
          <w:rFonts w:ascii="Helvetica-Bold" w:cs="Helvetica-Bold"/>
          <w:b/>
          <w:bCs/>
          <w:sz w:val="20"/>
          <w:szCs w:val="20"/>
        </w:rPr>
        <w:t xml:space="preserve"> Allosteric antagonists</w:t>
      </w:r>
    </w:p>
    <w:p w:rsidR="0035251C" w:rsidRDefault="0035251C" w:rsidP="0035251C">
      <w:pPr>
        <w:bidi w:val="0"/>
        <w:ind w:left="360"/>
        <w:rPr>
          <w:rFonts w:ascii="Helvetica-Bold" w:cs="Helvetica-Bold"/>
          <w:b/>
          <w:bCs/>
          <w:sz w:val="20"/>
          <w:szCs w:val="20"/>
        </w:rPr>
      </w:pPr>
      <w:r>
        <w:rPr>
          <w:rFonts w:ascii="Helvetica-Bold" w:cs="Helvetica-Bold"/>
          <w:b/>
          <w:bCs/>
          <w:sz w:val="20"/>
          <w:szCs w:val="20"/>
        </w:rPr>
        <w:t xml:space="preserve">       Functional antagonism</w:t>
      </w:r>
    </w:p>
    <w:p w:rsidR="0035251C" w:rsidRDefault="0035251C" w:rsidP="0035251C">
      <w:pPr>
        <w:bidi w:val="0"/>
        <w:ind w:left="360"/>
        <w:rPr>
          <w:lang w:bidi="ar-IQ"/>
        </w:rPr>
      </w:pPr>
      <w:r>
        <w:rPr>
          <w:rFonts w:ascii="Helvetica-Bold" w:cs="Helvetica-Bold"/>
          <w:b/>
          <w:bCs/>
          <w:sz w:val="24"/>
          <w:szCs w:val="24"/>
        </w:rPr>
        <w:t>QUANTAL DOSE</w:t>
      </w:r>
      <w:r>
        <w:rPr>
          <w:rFonts w:ascii="Helvetica-Bold" w:cs="Helvetica-Bold" w:hint="cs"/>
          <w:b/>
          <w:bCs/>
          <w:sz w:val="24"/>
          <w:szCs w:val="24"/>
        </w:rPr>
        <w:t>–</w:t>
      </w:r>
      <w:r>
        <w:rPr>
          <w:rFonts w:ascii="Helvetica-Bold" w:cs="Helvetica-Bold"/>
          <w:b/>
          <w:bCs/>
          <w:sz w:val="24"/>
          <w:szCs w:val="24"/>
        </w:rPr>
        <w:t>RESPONSE RELATIONSHIPS</w:t>
      </w:r>
    </w:p>
    <w:p w:rsidR="0035251C" w:rsidRDefault="0035251C" w:rsidP="0035251C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The therapeutic index (TI) of a drug is the ratio of the dose that produces</w:t>
      </w:r>
    </w:p>
    <w:p w:rsidR="0035251C" w:rsidRDefault="0035251C" w:rsidP="0035251C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toxicity in half the population (TD</w:t>
      </w:r>
      <w:r>
        <w:rPr>
          <w:rFonts w:ascii="Helvetica" w:hAnsi="Helvetica" w:cs="Helvetica"/>
          <w:sz w:val="12"/>
          <w:szCs w:val="12"/>
        </w:rPr>
        <w:t>50</w:t>
      </w:r>
      <w:r>
        <w:rPr>
          <w:rFonts w:ascii="Helvetica" w:hAnsi="Helvetica" w:cs="Helvetica"/>
          <w:sz w:val="20"/>
          <w:szCs w:val="20"/>
        </w:rPr>
        <w:t>) to the dose that produces</w:t>
      </w:r>
    </w:p>
    <w:p w:rsidR="0035251C" w:rsidRDefault="0035251C" w:rsidP="0035251C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bookmarkStart w:id="0" w:name="_GoBack"/>
      <w:r>
        <w:rPr>
          <w:rFonts w:ascii="Helvetica" w:hAnsi="Helvetica" w:cs="Helvetica"/>
          <w:sz w:val="20"/>
          <w:szCs w:val="20"/>
        </w:rPr>
        <w:t>a clinically desired or effective response (ED</w:t>
      </w:r>
      <w:r>
        <w:rPr>
          <w:rFonts w:ascii="Helvetica" w:hAnsi="Helvetica" w:cs="Helvetica"/>
          <w:sz w:val="12"/>
          <w:szCs w:val="12"/>
        </w:rPr>
        <w:t>50</w:t>
      </w:r>
      <w:r>
        <w:rPr>
          <w:rFonts w:ascii="Helvetica" w:hAnsi="Helvetica" w:cs="Helvetica"/>
          <w:sz w:val="20"/>
          <w:szCs w:val="20"/>
        </w:rPr>
        <w:t>) in half the population:</w:t>
      </w:r>
    </w:p>
    <w:bookmarkEnd w:id="0"/>
    <w:p w:rsidR="0035251C" w:rsidRDefault="0035251C" w:rsidP="0035251C">
      <w:pPr>
        <w:bidi w:val="0"/>
        <w:ind w:left="36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-Bold" w:cs="Helvetica-Bold"/>
          <w:b/>
          <w:bCs/>
          <w:sz w:val="20"/>
          <w:szCs w:val="20"/>
        </w:rPr>
        <w:t xml:space="preserve"> Clinical usefulness of the therapeutic index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35251C" w:rsidRDefault="0035251C" w:rsidP="0035251C">
      <w:pPr>
        <w:pStyle w:val="a3"/>
        <w:numPr>
          <w:ilvl w:val="0"/>
          <w:numId w:val="4"/>
        </w:numPr>
        <w:bidi w:val="0"/>
        <w:rPr>
          <w:lang w:bidi="ar-IQ"/>
        </w:rPr>
      </w:pPr>
      <w:r w:rsidRPr="0035251C">
        <w:rPr>
          <w:rFonts w:ascii="Helvetica-Bold" w:cs="Helvetica-Bold"/>
          <w:b/>
          <w:bCs/>
          <w:sz w:val="20"/>
          <w:szCs w:val="20"/>
        </w:rPr>
        <w:t>Warfarin (example of a drug with a small therapeutic index)</w:t>
      </w:r>
    </w:p>
    <w:p w:rsidR="0035251C" w:rsidRDefault="0035251C" w:rsidP="0035251C">
      <w:pPr>
        <w:pStyle w:val="a3"/>
        <w:numPr>
          <w:ilvl w:val="0"/>
          <w:numId w:val="4"/>
        </w:numPr>
        <w:bidi w:val="0"/>
        <w:rPr>
          <w:lang w:bidi="ar-IQ"/>
        </w:rPr>
      </w:pPr>
      <w:r>
        <w:rPr>
          <w:rFonts w:ascii="Helvetica-Bold" w:cs="Helvetica-Bold"/>
          <w:b/>
          <w:bCs/>
          <w:sz w:val="20"/>
          <w:szCs w:val="20"/>
        </w:rPr>
        <w:t>Penicillin (example of a drug with a large therapeutic index)</w:t>
      </w:r>
    </w:p>
    <w:sectPr w:rsidR="0035251C" w:rsidSect="00F1432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-Bold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lidExtr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D7EEB"/>
    <w:multiLevelType w:val="hybridMultilevel"/>
    <w:tmpl w:val="EF6A50A0"/>
    <w:lvl w:ilvl="0" w:tplc="D6FE4ED6">
      <w:start w:val="1"/>
      <w:numFmt w:val="decimal"/>
      <w:lvlText w:val="%1."/>
      <w:lvlJc w:val="left"/>
      <w:pPr>
        <w:ind w:left="720" w:hanging="360"/>
      </w:pPr>
      <w:rPr>
        <w:rFonts w:ascii="Helvetica-Bold" w:cs="Helvetica-Bold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966D7"/>
    <w:multiLevelType w:val="hybridMultilevel"/>
    <w:tmpl w:val="EF6A50A0"/>
    <w:lvl w:ilvl="0" w:tplc="D6FE4ED6">
      <w:start w:val="1"/>
      <w:numFmt w:val="decimal"/>
      <w:lvlText w:val="%1."/>
      <w:lvlJc w:val="left"/>
      <w:pPr>
        <w:ind w:left="720" w:hanging="360"/>
      </w:pPr>
      <w:rPr>
        <w:rFonts w:ascii="Helvetica-Bold" w:cs="Helvetica-Bold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94221"/>
    <w:multiLevelType w:val="hybridMultilevel"/>
    <w:tmpl w:val="3C060480"/>
    <w:lvl w:ilvl="0" w:tplc="D6FE4ED6">
      <w:start w:val="1"/>
      <w:numFmt w:val="decimal"/>
      <w:lvlText w:val="%1."/>
      <w:lvlJc w:val="left"/>
      <w:pPr>
        <w:ind w:left="720" w:hanging="360"/>
      </w:pPr>
      <w:rPr>
        <w:rFonts w:ascii="Helvetica-Bold" w:cs="Helvetica-Bold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250E3"/>
    <w:multiLevelType w:val="hybridMultilevel"/>
    <w:tmpl w:val="5628CAFC"/>
    <w:lvl w:ilvl="0" w:tplc="1B1E9D62">
      <w:start w:val="1"/>
      <w:numFmt w:val="upperLetter"/>
      <w:lvlText w:val="%1."/>
      <w:lvlJc w:val="left"/>
      <w:pPr>
        <w:ind w:left="720" w:hanging="360"/>
      </w:pPr>
      <w:rPr>
        <w:rFonts w:ascii="Helvetica-Bold" w:cs="Helvetica-Bold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8B"/>
    <w:rsid w:val="00072F8B"/>
    <w:rsid w:val="00150201"/>
    <w:rsid w:val="0035251C"/>
    <w:rsid w:val="00F1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2015-12-12T17:35:00Z</dcterms:created>
  <dcterms:modified xsi:type="dcterms:W3CDTF">2015-12-12T17:51:00Z</dcterms:modified>
</cp:coreProperties>
</file>