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58" w:rsidRPr="00A33B58" w:rsidRDefault="00A33B58" w:rsidP="00A33B58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Taeniasis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ICD-10 B68.0: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Taeniasis</w:t>
      </w:r>
      <w:proofErr w:type="spellEnd"/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ICD-10 B68.1: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Taeniasis</w:t>
      </w:r>
      <w:proofErr w:type="spellEnd"/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ICD-10 B69: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Cysticercosis</w:t>
      </w:r>
      <w:proofErr w:type="spellEnd"/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Identification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Beef tapeworm and pork tapeworm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Case classification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: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Suspect case: Clinical manifestations of infection with the  adult  worm,  if  present,  are  variable  and  may  include  nervousness, insomnia, anorexia, weight loss, abdominal pain and digestive disturbances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Probable case: In the presence of somatic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cysticercosis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epileptiform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seizures,   headache,   signs   of   intracranial   hypertension   or   psychiatric disturbances  strongly  suggest  cerebral  involvement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Neurocysticercosis</w:t>
      </w:r>
      <w:proofErr w:type="spellEnd"/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•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Confirmed case: Infection  with  an  adult  tapeworm  is  diagnosed  by  identification  of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proglottids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(segments), eggs or antigens of the worm in the feces or on anal  swabs.  Specific  diagnosis  is  based  on  the  morphology  of  the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scolex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(head) and/or gravid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proglottids</w:t>
      </w:r>
      <w:proofErr w:type="spellEnd"/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Infectious agent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>,  the  pork  tapeworm,  causes both intestinal infection with the adult worm and extra intestinal infection with the larvae (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cysticerci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).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>, the beef tapeworm, only causes intestinal infection with the adult worm in humans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Occurrence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Worldwide; frequent wherever beef or pork is eaten raw or insufficiently cooked and where sanitary conditions are lacking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Reservoir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Humans are the definitive host of both species.  Cattle  are  the  intermediate  hosts  for  T.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and  pigs  for 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Mode of transmission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Eggs of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passed in the stool of an infected person are infectious only to cattle, in the ﬂesh of which the parasites develop into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cysticercus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bovis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, the larval stage of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. In humans, infection follows ingestion of raw or undercooked beef containing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cysticerci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>; adult worm develops in the intestine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3.14.6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Incubation period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Symptoms  of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cysticercosis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may  appear  from weeks to 10 years or more after infection. Eggs appear in the stool 8-12 weeks after infection with the adult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tapeworm, 10-14 weeks with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Period of communicability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is not directly transmit- ted from person to person, but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may be. Eggs of both species are disseminated  into  the  environment  as  long  as  the  worm  remains  in  the intestine, sometimes more than 30 years; eggs may remain viable in the environment for months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Susceptibility and resistance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Susceptibility  is  general.  No  apparent  resistance follows infection; the presence of more than one tapeworm in a person has rarely been reported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Methods of control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  <w:r w:rsidRPr="00A33B58">
        <w:rPr>
          <w:rFonts w:asciiTheme="majorBidi" w:hAnsiTheme="majorBidi" w:cstheme="majorBidi"/>
          <w:sz w:val="28"/>
          <w:szCs w:val="28"/>
          <w:lang w:bidi="ar-IQ"/>
        </w:rPr>
        <w:t>a Preventive measures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1 )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Educate  the  public  to  prevent  fecal  contamination  of  soil, water, and human and animal food; to avoid use of sewage efﬂuents  for  pasture  irrigation;  and  to  cook  beef  and  pork thoroughly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2)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Appropriate  measures  to  protect  patients from themselves and their contacts are necessary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Freezing beef at a temperature below -5°C (23°F) for more than 4 days kills the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cysticerci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effectively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Inspection of the carcasses of cattle and swine will detect only a proportion of infected  carcasses;  these  should  be  condemned, irradiated or processed into cooked products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5)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Prevent swine access to latrines and human feces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.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>3.14.9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b Control measures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1)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Report to local health authority: Selectively reportable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lastRenderedPageBreak/>
        <w:t xml:space="preserve">2)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Isolation:  Not applicable.  Stools of  patients  with  untreated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taeniasis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due to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may be infective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Concurrent disinfection: Dispose of feces in a sanitary manner;  emphasize  strict  sanitation,  with  hand washing  after defecating and before eating, especially for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4)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Quarantine: Not applicable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5)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Immunization of contacts: Not applicable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6)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Investigation of  contacts  and  source  of  infection:  Evaluate symptomatic contacts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7) 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Specific treatment: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Praziquantel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is effective in the treatment of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T.saginata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and  T.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solium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intestinal  infections.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Niclosamide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>, no longer widely available, is an alternative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3.14.10 </w:t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>Management of the disease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theme="majorBidi"/>
          <w:sz w:val="28"/>
          <w:szCs w:val="28"/>
          <w:lang w:bidi="ar-IQ"/>
        </w:rPr>
        <w:t>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ab/>
      </w:r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Tapeworms are treated with medications taken by mouth, usually in a single dose. The drug of choice for tapeworm infections is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praziquantal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Niclosamide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can also be used.  Patients with  active  CNS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cysticercosis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may  benefit  from  treatment with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praziquantel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or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albendazole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 under  hospitalization;  a short  course  of  corticosteroids  is  usually  given  to  control cerebral  edema  due  to  dying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cysticerci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.  Where  </w:t>
      </w:r>
      <w:proofErr w:type="spellStart"/>
      <w:r w:rsidRPr="00A33B58">
        <w:rPr>
          <w:rFonts w:asciiTheme="majorBidi" w:hAnsiTheme="majorBidi" w:cstheme="majorBidi"/>
          <w:sz w:val="28"/>
          <w:szCs w:val="28"/>
          <w:lang w:bidi="ar-IQ"/>
        </w:rPr>
        <w:t>cysticidal</w:t>
      </w:r>
      <w:proofErr w:type="spellEnd"/>
      <w:r w:rsidRPr="00A33B58">
        <w:rPr>
          <w:rFonts w:asciiTheme="majorBidi" w:hAnsiTheme="majorBidi" w:cstheme="majorBidi"/>
          <w:sz w:val="28"/>
          <w:szCs w:val="28"/>
          <w:lang w:bidi="ar-IQ"/>
        </w:rPr>
        <w:t xml:space="preserve"> treatment  is  not  indicated,  symptomatic  treatment,  such  as with  anti-epileptic  drugs,  may  bring  relief.  In some  cases surgical intervention may be needed to relieve symptoms</w:t>
      </w: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. </w:t>
      </w: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33B58" w:rsidRPr="00A33B58" w:rsidRDefault="00A33B58" w:rsidP="00A33B58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A33B58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</w:t>
      </w:r>
    </w:p>
    <w:p w:rsidR="006D052A" w:rsidRPr="00A33B58" w:rsidRDefault="006D052A" w:rsidP="00566E2C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sectPr w:rsidR="006D052A" w:rsidRPr="00A33B58" w:rsidSect="00E35F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8531B"/>
    <w:multiLevelType w:val="hybridMultilevel"/>
    <w:tmpl w:val="BCE2DA7E"/>
    <w:lvl w:ilvl="0" w:tplc="883273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7"/>
    <w:rsid w:val="00006145"/>
    <w:rsid w:val="000247A4"/>
    <w:rsid w:val="000B52D9"/>
    <w:rsid w:val="000C5AC1"/>
    <w:rsid w:val="00154E9F"/>
    <w:rsid w:val="00186F21"/>
    <w:rsid w:val="001E40A5"/>
    <w:rsid w:val="001F3C23"/>
    <w:rsid w:val="00231B38"/>
    <w:rsid w:val="0026246F"/>
    <w:rsid w:val="002B05D6"/>
    <w:rsid w:val="00304FCE"/>
    <w:rsid w:val="003D2D17"/>
    <w:rsid w:val="004174EC"/>
    <w:rsid w:val="00485799"/>
    <w:rsid w:val="00487A42"/>
    <w:rsid w:val="004E65ED"/>
    <w:rsid w:val="0050225B"/>
    <w:rsid w:val="00527C8B"/>
    <w:rsid w:val="00566E2C"/>
    <w:rsid w:val="00587DE3"/>
    <w:rsid w:val="005A37D7"/>
    <w:rsid w:val="00684370"/>
    <w:rsid w:val="006D052A"/>
    <w:rsid w:val="006D2E17"/>
    <w:rsid w:val="006E6024"/>
    <w:rsid w:val="007135D3"/>
    <w:rsid w:val="00726016"/>
    <w:rsid w:val="00745464"/>
    <w:rsid w:val="007C03F9"/>
    <w:rsid w:val="007F5068"/>
    <w:rsid w:val="00820906"/>
    <w:rsid w:val="00895B49"/>
    <w:rsid w:val="008F6FD4"/>
    <w:rsid w:val="0090594E"/>
    <w:rsid w:val="00921EFE"/>
    <w:rsid w:val="00932E0E"/>
    <w:rsid w:val="009C0FD1"/>
    <w:rsid w:val="009F3D35"/>
    <w:rsid w:val="00A33B58"/>
    <w:rsid w:val="00A41EA7"/>
    <w:rsid w:val="00A732AC"/>
    <w:rsid w:val="00AD2341"/>
    <w:rsid w:val="00B45050"/>
    <w:rsid w:val="00B700DE"/>
    <w:rsid w:val="00B873E7"/>
    <w:rsid w:val="00BD6004"/>
    <w:rsid w:val="00C176F2"/>
    <w:rsid w:val="00C52E3E"/>
    <w:rsid w:val="00C93938"/>
    <w:rsid w:val="00C94301"/>
    <w:rsid w:val="00CA1FDD"/>
    <w:rsid w:val="00CC478E"/>
    <w:rsid w:val="00DB72AD"/>
    <w:rsid w:val="00DE728A"/>
    <w:rsid w:val="00E35F9E"/>
    <w:rsid w:val="00E432B1"/>
    <w:rsid w:val="00E66BFE"/>
    <w:rsid w:val="00E868B7"/>
    <w:rsid w:val="00EA06A4"/>
    <w:rsid w:val="00F20B36"/>
    <w:rsid w:val="00F22185"/>
    <w:rsid w:val="00F67379"/>
    <w:rsid w:val="00F813E3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698</Words>
  <Characters>3983</Characters>
  <Application>Microsoft Office Word</Application>
  <DocSecurity>0</DocSecurity>
  <Lines>33</Lines>
  <Paragraphs>9</Paragraphs>
  <ScaleCrop>false</ScaleCrop>
  <Company>Ahmed-Under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ghhp</dc:creator>
  <cp:keywords/>
  <dc:description/>
  <cp:lastModifiedBy>ghhp</cp:lastModifiedBy>
  <cp:revision>64</cp:revision>
  <dcterms:created xsi:type="dcterms:W3CDTF">2016-12-08T17:04:00Z</dcterms:created>
  <dcterms:modified xsi:type="dcterms:W3CDTF">2016-12-11T21:04:00Z</dcterms:modified>
</cp:coreProperties>
</file>