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C5" w:rsidRDefault="00F54FC5" w:rsidP="00F54FC5">
      <w:pPr>
        <w:ind w:left="140" w:firstLine="567"/>
        <w:jc w:val="center"/>
        <w:outlineLvl w:val="0"/>
        <w:rPr>
          <w:rFonts w:cs="Simplified Arabic"/>
          <w:b/>
          <w:bCs/>
          <w:sz w:val="34"/>
          <w:szCs w:val="34"/>
          <w:lang w:bidi="ar-EG"/>
        </w:rPr>
      </w:pPr>
      <w:r>
        <w:rPr>
          <w:rFonts w:cs="Simplified Arabic"/>
          <w:b/>
          <w:bCs/>
          <w:sz w:val="34"/>
          <w:szCs w:val="34"/>
          <w:rtl/>
          <w:lang w:bidi="ar-EG"/>
        </w:rPr>
        <w:t>المدود</w:t>
      </w:r>
    </w:p>
    <w:p w:rsidR="00F54FC5" w:rsidRDefault="00F54FC5" w:rsidP="00F54FC5">
      <w:pPr>
        <w:ind w:left="140" w:firstLine="567"/>
        <w:jc w:val="center"/>
        <w:outlineLvl w:val="0"/>
        <w:rPr>
          <w:rFonts w:cs="Simplified Arabic"/>
          <w:b/>
          <w:bCs/>
          <w:sz w:val="34"/>
          <w:szCs w:val="34"/>
          <w:rtl/>
          <w:lang w:bidi="ar-EG"/>
        </w:rPr>
      </w:pPr>
      <w:r>
        <w:rPr>
          <w:rFonts w:cs="Simplified Arabic"/>
          <w:b/>
          <w:bCs/>
          <w:sz w:val="34"/>
          <w:szCs w:val="34"/>
          <w:rtl/>
          <w:lang w:bidi="ar-EG"/>
        </w:rPr>
        <w:t>زمن الحركات وحروف المد</w:t>
      </w:r>
    </w:p>
    <w:p w:rsidR="00F54FC5" w:rsidRDefault="00F54FC5" w:rsidP="00F54FC5">
      <w:pPr>
        <w:ind w:left="140" w:firstLine="567"/>
        <w:jc w:val="both"/>
        <w:outlineLvl w:val="0"/>
        <w:rPr>
          <w:rFonts w:cs="Simplified Arabic"/>
          <w:sz w:val="30"/>
          <w:szCs w:val="30"/>
          <w:rtl/>
          <w:lang w:bidi="ar-EG"/>
        </w:rPr>
      </w:pPr>
      <w:r>
        <w:rPr>
          <w:rFonts w:cs="Simplified Arabic"/>
          <w:sz w:val="30"/>
          <w:szCs w:val="30"/>
          <w:rtl/>
          <w:lang w:bidi="ar-EG"/>
        </w:rPr>
        <w:t xml:space="preserve">للأصوات في العربية مقادير معروفة، وأزمنة معينة، والأصل فيها أن لا تخرج عن هذه المقادير والأزمنة ولا تفارقها، ولا سيما عند قراءة القرآن، يقول أبو عمرو الداني: </w:t>
      </w:r>
      <w:r>
        <w:rPr>
          <w:rFonts w:cs="Simplified Arabic"/>
          <w:b/>
          <w:bCs/>
          <w:rtl/>
          <w:lang w:bidi="ar-EG"/>
        </w:rPr>
        <w:t>((</w:t>
      </w:r>
      <w:r>
        <w:rPr>
          <w:rFonts w:cs="Simplified Arabic"/>
          <w:sz w:val="30"/>
          <w:szCs w:val="30"/>
          <w:rtl/>
          <w:lang w:bidi="ar-EG"/>
        </w:rPr>
        <w:t xml:space="preserve">فأما المحرك من الحروف بالحركات الثلاثة: الفتحة، والكسرة، والضمة, فحقه أن يُلفظ به مشبعًا، ويُؤتى بالحركات الثلاث كوامل، من غير اختلاس ولا توهين يؤولان إلى تضعيف الصوت بهن، ولا إشباع زائد، ولا تمطيط بالغ يوجبان الإتيان بعدهن بألف، وياء، وواو غير ممكنات فضلاً عن الإتيان بهن ممكنات </w:t>
      </w:r>
      <w:r>
        <w:rPr>
          <w:rFonts w:cs="Simplified Arabic"/>
          <w:b/>
          <w:bCs/>
          <w:rtl/>
          <w:lang w:bidi="ar-EG"/>
        </w:rPr>
        <w:t>))</w:t>
      </w:r>
      <w:r>
        <w:rPr>
          <w:rFonts w:cs="Simplified Arabic"/>
          <w:sz w:val="30"/>
          <w:szCs w:val="30"/>
          <w:rtl/>
          <w:lang w:bidi="ar-EG"/>
        </w:rPr>
        <w:t xml:space="preserve"> </w:t>
      </w:r>
      <w:r>
        <w:rPr>
          <w:rFonts w:cs="Simplified Arabic"/>
          <w:sz w:val="30"/>
          <w:szCs w:val="30"/>
          <w:vertAlign w:val="superscript"/>
          <w:rtl/>
          <w:lang w:bidi="ar-EG"/>
        </w:rPr>
        <w:t xml:space="preserve">( </w:t>
      </w:r>
      <w:r>
        <w:rPr>
          <w:rStyle w:val="a5"/>
          <w:rFonts w:cs="Simplified Arabic"/>
          <w:sz w:val="30"/>
          <w:szCs w:val="30"/>
          <w:rtl/>
          <w:lang w:bidi="ar-EG"/>
        </w:rPr>
        <w:footnoteReference w:id="2"/>
      </w:r>
      <w:r>
        <w:rPr>
          <w:rFonts w:cs="Simplified Arabic"/>
          <w:sz w:val="30"/>
          <w:szCs w:val="30"/>
          <w:vertAlign w:val="superscript"/>
          <w:rtl/>
          <w:lang w:bidi="ar-EG"/>
        </w:rPr>
        <w:t xml:space="preserve"> )</w:t>
      </w:r>
      <w:r>
        <w:rPr>
          <w:rFonts w:cs="Simplified Arabic"/>
          <w:sz w:val="30"/>
          <w:szCs w:val="30"/>
          <w:rtl/>
          <w:lang w:bidi="ar-EG"/>
        </w:rPr>
        <w:t>، فلو مُدَّ الصوت بالفتحة لصارت ألفًا، وبمد الصوت بالكسرة تصير ياءً، وتصير الضمة عند مد الصوت بها واوًا، وإذا قُصِّر صوت الألف صار فتحة، وعند تقصير الياء تصير كسرة، وتصير الواو عند تقصيرها ضمةً، وغالبا ما يؤدي هذا إلى أن يختل المعنى، ويفقد الكلام الدقة في بيان المعنى المراد، ولكن العربية لم تلتزم التزامًا حرفيًا بهذا الأصل، فثمة مواضع لا يختل فيها المعنى عند تغير مقدار الزمن الذي يستحقه الصائت، فقد تأخذ الصوائت بنوعيها: القصيرة والطويلة من الزمن أقل ممَّا تستحق، وذلك بتقصيرها، وقد تأخذ من الزمن أكثر ممَّا كان ينبغي لها أن تأخذ، وذلك عن طريق إطالتها، وسيتبين هذا جليًّا فيما يأتي.</w:t>
      </w:r>
    </w:p>
    <w:p w:rsidR="00F54FC5" w:rsidRDefault="00F54FC5" w:rsidP="00F54FC5">
      <w:pPr>
        <w:ind w:left="140" w:firstLine="567"/>
        <w:jc w:val="both"/>
        <w:outlineLvl w:val="0"/>
        <w:rPr>
          <w:rFonts w:cs="Simplified Arabic"/>
          <w:sz w:val="30"/>
          <w:szCs w:val="30"/>
          <w:rtl/>
          <w:lang w:bidi="ar-EG"/>
        </w:rPr>
      </w:pPr>
    </w:p>
    <w:p w:rsidR="00F54FC5" w:rsidRDefault="00F54FC5" w:rsidP="00F54FC5">
      <w:pPr>
        <w:ind w:left="140" w:firstLine="567"/>
        <w:jc w:val="center"/>
        <w:outlineLvl w:val="0"/>
        <w:rPr>
          <w:rFonts w:cs="Simplified Arabic"/>
          <w:b/>
          <w:bCs/>
          <w:sz w:val="34"/>
          <w:szCs w:val="34"/>
          <w:rtl/>
          <w:lang w:bidi="ar-EG"/>
        </w:rPr>
      </w:pPr>
      <w:r>
        <w:rPr>
          <w:rFonts w:cs="Simplified Arabic"/>
          <w:b/>
          <w:bCs/>
          <w:sz w:val="34"/>
          <w:szCs w:val="34"/>
          <w:rtl/>
          <w:lang w:bidi="ar-EG"/>
        </w:rPr>
        <w:br w:type="column"/>
      </w:r>
      <w:r>
        <w:rPr>
          <w:rFonts w:cs="Simplified Arabic"/>
          <w:b/>
          <w:bCs/>
          <w:sz w:val="34"/>
          <w:szCs w:val="34"/>
          <w:rtl/>
          <w:lang w:bidi="ar-EG"/>
        </w:rPr>
        <w:lastRenderedPageBreak/>
        <w:t>إطالة الحركات وحروف المد</w:t>
      </w:r>
    </w:p>
    <w:p w:rsidR="00F54FC5" w:rsidRDefault="00F54FC5" w:rsidP="00F54FC5">
      <w:pPr>
        <w:ind w:left="-1" w:firstLine="567"/>
        <w:jc w:val="both"/>
        <w:outlineLvl w:val="0"/>
        <w:rPr>
          <w:rFonts w:cs="Simplified Arabic"/>
          <w:sz w:val="30"/>
          <w:szCs w:val="30"/>
          <w:rtl/>
          <w:lang w:bidi="ar-EG"/>
        </w:rPr>
      </w:pPr>
      <w:r>
        <w:rPr>
          <w:rFonts w:cs="Simplified Arabic"/>
          <w:sz w:val="30"/>
          <w:szCs w:val="30"/>
          <w:rtl/>
          <w:lang w:bidi="ar-EG"/>
        </w:rPr>
        <w:t xml:space="preserve">ثمة تغيير قد يلحق الحركات وحروف المد، وأعني به أن يطول زمن النطق بهما، ويلحق هذا التغيير الحركات وحروف المد على السواء، فتُمطل الفتحة فتصير ألفاً، وتُمطل الكسرة فتصير ياءً، وتُمطل الضمة فتصير واوًا، وهذا ما سمّاه ابن جني مطل الحركات، وعقد له بابًا بهذا العنوان </w:t>
      </w:r>
      <w:r>
        <w:rPr>
          <w:rFonts w:cs="Simplified Arabic"/>
          <w:sz w:val="30"/>
          <w:szCs w:val="30"/>
          <w:vertAlign w:val="superscript"/>
          <w:rtl/>
          <w:lang w:bidi="ar-EG"/>
        </w:rPr>
        <w:t xml:space="preserve">( </w:t>
      </w:r>
      <w:r>
        <w:rPr>
          <w:rStyle w:val="a5"/>
          <w:rFonts w:cs="Simplified Arabic"/>
          <w:sz w:val="30"/>
          <w:szCs w:val="30"/>
          <w:rtl/>
          <w:lang w:bidi="ar-EG"/>
        </w:rPr>
        <w:footnoteReference w:id="3"/>
      </w:r>
      <w:r>
        <w:rPr>
          <w:rFonts w:cs="Simplified Arabic"/>
          <w:sz w:val="30"/>
          <w:szCs w:val="30"/>
          <w:vertAlign w:val="superscript"/>
          <w:rtl/>
          <w:lang w:bidi="ar-EG"/>
        </w:rPr>
        <w:t xml:space="preserve"> )</w:t>
      </w:r>
      <w:r>
        <w:rPr>
          <w:rFonts w:cs="Simplified Arabic"/>
          <w:sz w:val="30"/>
          <w:szCs w:val="30"/>
          <w:rtl/>
          <w:lang w:bidi="ar-EG"/>
        </w:rPr>
        <w:t xml:space="preserve">، ولا يقتصر هذا المطل أو المد على الصوائت القصيرة، إذ تُمد الألف والياء والواو فيطول زمن النطق بها، وتستغرق من الوقت أكثر مما تستغرقه في الحالات الطبيعية، ولم يفُت ابن جني أن يعقد لهذا الضرب بابًا، وقد سمّاه ( باب في مطل الحروف ) </w:t>
      </w:r>
      <w:r>
        <w:rPr>
          <w:rFonts w:cs="Simplified Arabic"/>
          <w:sz w:val="30"/>
          <w:szCs w:val="30"/>
          <w:vertAlign w:val="superscript"/>
          <w:rtl/>
          <w:lang w:bidi="ar-EG"/>
        </w:rPr>
        <w:t xml:space="preserve">( </w:t>
      </w:r>
      <w:r>
        <w:rPr>
          <w:rStyle w:val="a5"/>
          <w:rFonts w:cs="Simplified Arabic"/>
          <w:sz w:val="30"/>
          <w:szCs w:val="30"/>
          <w:rtl/>
          <w:lang w:bidi="ar-EG"/>
        </w:rPr>
        <w:footnoteReference w:id="4"/>
      </w:r>
      <w:r>
        <w:rPr>
          <w:rFonts w:cs="Simplified Arabic"/>
          <w:sz w:val="30"/>
          <w:szCs w:val="30"/>
          <w:vertAlign w:val="superscript"/>
          <w:rtl/>
          <w:lang w:bidi="ar-EG"/>
        </w:rPr>
        <w:t xml:space="preserve"> )</w:t>
      </w:r>
      <w:r>
        <w:rPr>
          <w:rFonts w:cs="Simplified Arabic"/>
          <w:sz w:val="30"/>
          <w:szCs w:val="30"/>
          <w:rtl/>
          <w:lang w:bidi="ar-EG"/>
        </w:rPr>
        <w:t>، وأنا هنا لا أتحدث عن مد الحركات القصار لأغراض صرفية، كمد فتحة الكاف في كَتب؛ لتصير كاتب، بل أتحدث عن مد الحركات القصار لأغراض صوتية محضة، كما سيلحظ القارئ في المواضع التي ستُعرض لاحقًا.</w:t>
      </w:r>
    </w:p>
    <w:p w:rsidR="00F54FC5" w:rsidRDefault="00F54FC5" w:rsidP="00F54FC5">
      <w:pPr>
        <w:ind w:left="-1" w:firstLine="567"/>
        <w:jc w:val="both"/>
        <w:outlineLvl w:val="0"/>
        <w:rPr>
          <w:rFonts w:cs="Simplified Arabic"/>
          <w:b/>
          <w:bCs/>
          <w:sz w:val="34"/>
          <w:szCs w:val="34"/>
          <w:rtl/>
          <w:lang w:bidi="ar-EG"/>
        </w:rPr>
      </w:pPr>
      <w:r>
        <w:rPr>
          <w:rFonts w:cs="Simplified Arabic"/>
          <w:sz w:val="30"/>
          <w:szCs w:val="30"/>
          <w:rtl/>
          <w:lang w:bidi="ar-EG"/>
        </w:rPr>
        <w:t xml:space="preserve">ويمكن وضع هذه الإطالة – أو المطل كما سمّاه ابن جني – في قسمين: قسم غرضه انسجام الفواصل، ولا يخضع لقواعد محددة، وقسم سببه طبيعة الأصوات التي جاورت هذه الصوائت، ويُطلق على هذا النوع المدود, ولها قواعد تحكمها، وأنواع تندرج تحتها. </w:t>
      </w:r>
    </w:p>
    <w:p w:rsidR="00F54FC5" w:rsidRDefault="00F54FC5" w:rsidP="00F54FC5">
      <w:pPr>
        <w:ind w:left="140" w:firstLine="567"/>
        <w:jc w:val="both"/>
        <w:outlineLvl w:val="0"/>
        <w:rPr>
          <w:rFonts w:cs="Simplified Arabic" w:hint="cs"/>
          <w:b/>
          <w:bCs/>
          <w:sz w:val="34"/>
          <w:szCs w:val="34"/>
          <w:rtl/>
        </w:rPr>
      </w:pPr>
      <w:r>
        <w:rPr>
          <w:rFonts w:cs="Simplified Arabic"/>
          <w:b/>
          <w:bCs/>
          <w:sz w:val="34"/>
          <w:szCs w:val="34"/>
          <w:rtl/>
          <w:lang w:bidi="ar-EG"/>
        </w:rPr>
        <w:t>المدود</w:t>
      </w:r>
    </w:p>
    <w:p w:rsidR="00F54FC5" w:rsidRDefault="00F54FC5" w:rsidP="00F54FC5">
      <w:pPr>
        <w:ind w:left="-1" w:firstLine="567"/>
        <w:jc w:val="both"/>
        <w:outlineLvl w:val="0"/>
        <w:rPr>
          <w:rFonts w:ascii="Simplified Arabic" w:hAnsi="Simplified Arabic" w:cs="Simplified Arabic"/>
          <w:sz w:val="30"/>
          <w:szCs w:val="30"/>
          <w:rtl/>
          <w:lang w:bidi="ar-IQ"/>
        </w:rPr>
      </w:pPr>
      <w:r>
        <w:rPr>
          <w:rFonts w:ascii="Simplified Arabic" w:hAnsi="Simplified Arabic" w:cs="Simplified Arabic"/>
          <w:sz w:val="30"/>
          <w:szCs w:val="30"/>
          <w:rtl/>
          <w:lang w:bidi="ar-IQ"/>
        </w:rPr>
        <w:t>تعريف المد: هو إطالة الصوت بحرف المد عند وجود سبب.</w:t>
      </w:r>
      <w:r>
        <w:rPr>
          <w:rFonts w:ascii="Simplified Arabic" w:hAnsi="Simplified Arabic" w:cs="Simplified Arabic"/>
          <w:sz w:val="30"/>
          <w:szCs w:val="30"/>
          <w:lang w:bidi="ar-IQ"/>
        </w:rPr>
        <w:t xml:space="preserve"> </w:t>
      </w:r>
    </w:p>
    <w:p w:rsidR="00F54FC5" w:rsidRDefault="00F54FC5" w:rsidP="00F54FC5">
      <w:pPr>
        <w:ind w:left="-1" w:firstLine="567"/>
        <w:jc w:val="both"/>
        <w:outlineLvl w:val="0"/>
        <w:rPr>
          <w:rFonts w:ascii="Simplified Arabic" w:hAnsi="Simplified Arabic" w:cs="Simplified Arabic"/>
          <w:sz w:val="30"/>
          <w:szCs w:val="30"/>
          <w:lang w:bidi="ar-IQ"/>
        </w:rPr>
      </w:pPr>
      <w:r>
        <w:rPr>
          <w:rFonts w:ascii="Simplified Arabic" w:hAnsi="Simplified Arabic" w:cs="Simplified Arabic"/>
          <w:sz w:val="30"/>
          <w:szCs w:val="30"/>
          <w:rtl/>
        </w:rPr>
        <w:t>حروف</w:t>
      </w:r>
      <w:r>
        <w:rPr>
          <w:rFonts w:ascii="Simplified Arabic" w:hAnsi="Simplified Arabic" w:cs="Simplified Arabic"/>
          <w:sz w:val="30"/>
          <w:szCs w:val="30"/>
          <w:rtl/>
          <w:lang w:bidi="ar-IQ"/>
        </w:rPr>
        <w:t xml:space="preserve"> الـمد</w:t>
      </w:r>
      <w:r>
        <w:rPr>
          <w:rFonts w:ascii="Simplified Arabic" w:hAnsi="Simplified Arabic" w:cs="Simplified Arabic"/>
          <w:sz w:val="30"/>
          <w:szCs w:val="30"/>
          <w:lang w:bidi="ar-IQ"/>
        </w:rPr>
        <w:t>:  </w:t>
      </w:r>
      <w:r>
        <w:rPr>
          <w:rFonts w:ascii="Simplified Arabic" w:hAnsi="Simplified Arabic" w:cs="Simplified Arabic"/>
          <w:sz w:val="30"/>
          <w:szCs w:val="30"/>
          <w:rtl/>
          <w:lang w:bidi="ar-IQ"/>
        </w:rPr>
        <w:t xml:space="preserve"> </w:t>
      </w:r>
      <w:r>
        <w:rPr>
          <w:rFonts w:ascii="Simplified Arabic" w:hAnsi="Simplified Arabic" w:cs="Simplified Arabic" w:hint="cs"/>
          <w:sz w:val="30"/>
          <w:szCs w:val="30"/>
          <w:rtl/>
          <w:lang w:bidi="ar-IQ"/>
        </w:rPr>
        <w:t>ثلاثة</w:t>
      </w:r>
      <w:r>
        <w:rPr>
          <w:rFonts w:ascii="Simplified Arabic" w:hAnsi="Simplified Arabic" w:cs="Simplified Arabic"/>
          <w:sz w:val="30"/>
          <w:szCs w:val="30"/>
          <w:lang w:bidi="ar-IQ"/>
        </w:rPr>
        <w:t xml:space="preserve">: </w:t>
      </w:r>
      <w:r>
        <w:rPr>
          <w:rFonts w:ascii="Simplified Arabic" w:hAnsi="Simplified Arabic" w:cs="Simplified Arabic"/>
          <w:sz w:val="30"/>
          <w:szCs w:val="30"/>
          <w:rtl/>
          <w:lang w:bidi="ar-IQ"/>
        </w:rPr>
        <w:t>الألف الساكنة المفتوح ما قبلها، و الواو الساكنة المضموم ما قبلها، والياء الساكنة المكسور ما قبلها.</w:t>
      </w:r>
    </w:p>
    <w:p w:rsidR="00F54FC5" w:rsidRDefault="00F54FC5" w:rsidP="00F54FC5">
      <w:pPr>
        <w:ind w:left="-1" w:firstLine="567"/>
        <w:jc w:val="both"/>
        <w:outlineLvl w:val="0"/>
        <w:rPr>
          <w:rFonts w:ascii="Simplified Arabic" w:hAnsi="Simplified Arabic" w:cs="Simplified Arabic"/>
          <w:sz w:val="30"/>
          <w:szCs w:val="30"/>
          <w:rtl/>
          <w:lang w:bidi="ar-IQ"/>
        </w:rPr>
      </w:pPr>
      <w:r>
        <w:rPr>
          <w:rFonts w:ascii="Simplified Arabic" w:hAnsi="Simplified Arabic" w:cs="Simplified Arabic"/>
          <w:sz w:val="30"/>
          <w:szCs w:val="30"/>
          <w:rtl/>
          <w:lang w:bidi="ar-IQ"/>
        </w:rPr>
        <w:t>وتمد الحركات أيضًا: الفتحة والضمة والكسرة.</w:t>
      </w:r>
    </w:p>
    <w:p w:rsidR="00F54FC5" w:rsidRDefault="00F54FC5" w:rsidP="00F54FC5">
      <w:pPr>
        <w:ind w:left="-1" w:firstLine="567"/>
        <w:jc w:val="both"/>
        <w:outlineLvl w:val="0"/>
        <w:rPr>
          <w:rFonts w:cs="Simplified Arabic"/>
          <w:sz w:val="30"/>
          <w:szCs w:val="30"/>
          <w:rtl/>
          <w:lang w:bidi="ar-EG"/>
        </w:rPr>
      </w:pPr>
      <w:r>
        <w:rPr>
          <w:rFonts w:cs="Simplified Arabic"/>
          <w:sz w:val="30"/>
          <w:szCs w:val="30"/>
          <w:rtl/>
          <w:lang w:bidi="ar-EG"/>
        </w:rPr>
        <w:lastRenderedPageBreak/>
        <w:t xml:space="preserve">قد تخرج الحركات وحروف المد عن حالتها الاعتيادية، وعن الزمن الذي يطرد لها، فيُمد الصوت به لعلة صوتية، ويأخذ من الوقت أكثر ممَّا يستحقه في الحالات الطبيعية، بل قد يتضاعف الزمن فيه لأكثر من مرة. </w:t>
      </w:r>
      <w:r>
        <w:rPr>
          <w:rFonts w:cs="Simplified Arabic"/>
          <w:b/>
          <w:bCs/>
          <w:rtl/>
          <w:lang w:bidi="ar-EG"/>
        </w:rPr>
        <w:t>((</w:t>
      </w:r>
      <w:r>
        <w:rPr>
          <w:rFonts w:cs="Simplified Arabic"/>
          <w:sz w:val="30"/>
          <w:szCs w:val="30"/>
          <w:rtl/>
          <w:lang w:bidi="ar-EG"/>
        </w:rPr>
        <w:t xml:space="preserve"> والمد في هذا الباب هو عبارة عن زيادة مَطٍّ في حرف المد على المد الطبيعي، وهو الذي لا يقوم ذات حرف المد بدونه، والقصر: عبارة عن ترك تلك الزيادة وإبقاء المد الطبيعي على حاله </w:t>
      </w:r>
      <w:r>
        <w:rPr>
          <w:rFonts w:cs="Simplified Arabic"/>
          <w:b/>
          <w:bCs/>
          <w:rtl/>
          <w:lang w:bidi="ar-EG"/>
        </w:rPr>
        <w:t>))</w:t>
      </w:r>
      <w:r>
        <w:rPr>
          <w:rFonts w:cs="Simplified Arabic"/>
          <w:sz w:val="30"/>
          <w:szCs w:val="30"/>
          <w:rtl/>
          <w:lang w:bidi="ar-EG"/>
        </w:rPr>
        <w:t xml:space="preserve"> </w:t>
      </w:r>
      <w:r>
        <w:rPr>
          <w:rFonts w:cs="Simplified Arabic"/>
          <w:sz w:val="30"/>
          <w:szCs w:val="30"/>
          <w:vertAlign w:val="superscript"/>
          <w:rtl/>
          <w:lang w:bidi="ar-EG"/>
        </w:rPr>
        <w:t xml:space="preserve">( </w:t>
      </w:r>
      <w:r>
        <w:rPr>
          <w:rStyle w:val="a5"/>
          <w:rFonts w:cs="Simplified Arabic"/>
          <w:sz w:val="30"/>
          <w:szCs w:val="30"/>
          <w:rtl/>
          <w:lang w:bidi="ar-EG"/>
        </w:rPr>
        <w:footnoteReference w:id="5"/>
      </w:r>
      <w:r>
        <w:rPr>
          <w:rFonts w:cs="Simplified Arabic"/>
          <w:sz w:val="30"/>
          <w:szCs w:val="30"/>
          <w:vertAlign w:val="superscript"/>
          <w:rtl/>
          <w:lang w:bidi="ar-EG"/>
        </w:rPr>
        <w:t xml:space="preserve"> )</w:t>
      </w:r>
      <w:r>
        <w:rPr>
          <w:rFonts w:cs="Simplified Arabic"/>
          <w:sz w:val="30"/>
          <w:szCs w:val="30"/>
          <w:rtl/>
          <w:lang w:bidi="ar-EG"/>
        </w:rPr>
        <w:t xml:space="preserve">، فمعلوم أن الصوائت في العربية </w:t>
      </w:r>
      <w:r>
        <w:rPr>
          <w:rFonts w:cs="Simplified Arabic"/>
          <w:b/>
          <w:bCs/>
          <w:rtl/>
          <w:lang w:bidi="ar-EG"/>
        </w:rPr>
        <w:t>((</w:t>
      </w:r>
      <w:r>
        <w:rPr>
          <w:rFonts w:cs="Simplified Arabic"/>
          <w:sz w:val="30"/>
          <w:szCs w:val="30"/>
          <w:rtl/>
          <w:lang w:bidi="ar-EG"/>
        </w:rPr>
        <w:t xml:space="preserve"> لكل منها مقدار محدد من الطول، كما أن لكل صوت من الأصوات الجامدة مقدارًا من الطول أيضًا، ولا يتحقق ذات الصوت إلا بعد أن يستوفي حظه من الطول، ويبدو أن الأصوات الذائبة أكثر تعرضًا للزيادة والنقصان في زمن النطق من الأصوات الجامدة؛ لأن طبيعة نطقها تحتمل ذلك، حيث يمكن للناطق أن يمد صوته بالأصوات الذائبة ما أسعفه النفس </w:t>
      </w:r>
      <w:r>
        <w:rPr>
          <w:rFonts w:cs="Simplified Arabic"/>
          <w:b/>
          <w:bCs/>
          <w:rtl/>
          <w:lang w:bidi="ar-EG"/>
        </w:rPr>
        <w:t>))</w:t>
      </w:r>
      <w:r>
        <w:rPr>
          <w:rFonts w:cs="Simplified Arabic"/>
          <w:sz w:val="30"/>
          <w:szCs w:val="30"/>
          <w:rtl/>
          <w:lang w:bidi="ar-EG"/>
        </w:rPr>
        <w:t xml:space="preserve"> </w:t>
      </w:r>
      <w:r>
        <w:rPr>
          <w:rFonts w:cs="Simplified Arabic"/>
          <w:sz w:val="30"/>
          <w:szCs w:val="30"/>
          <w:vertAlign w:val="superscript"/>
          <w:rtl/>
          <w:lang w:bidi="ar-EG"/>
        </w:rPr>
        <w:t xml:space="preserve">( </w:t>
      </w:r>
      <w:r>
        <w:rPr>
          <w:rStyle w:val="a5"/>
          <w:rFonts w:cs="Simplified Arabic"/>
          <w:sz w:val="30"/>
          <w:szCs w:val="30"/>
          <w:rtl/>
          <w:lang w:bidi="ar-EG"/>
        </w:rPr>
        <w:footnoteReference w:id="6"/>
      </w:r>
      <w:r>
        <w:rPr>
          <w:rFonts w:cs="Simplified Arabic"/>
          <w:sz w:val="30"/>
          <w:szCs w:val="30"/>
          <w:vertAlign w:val="superscript"/>
          <w:rtl/>
          <w:lang w:bidi="ar-EG"/>
        </w:rPr>
        <w:t xml:space="preserve"> )</w:t>
      </w:r>
      <w:r>
        <w:rPr>
          <w:rFonts w:cs="Simplified Arabic"/>
          <w:sz w:val="30"/>
          <w:szCs w:val="30"/>
          <w:rtl/>
          <w:lang w:bidi="ar-EG"/>
        </w:rPr>
        <w:t xml:space="preserve">، ويحدث هذا المد بسبب تأثير الأصوات المجاورة. ولهذه المدود أحكامٌ تحكمها، وقواعدُ تضبطها، وأنواع تجمعها، ومقاديرُ معروفة لا تخرج عنها ولا تحيد؛ لأن الخروج عنها يُعد لحنًا خفيًّا، وهذه الأمور كلها يجدها القارئ منصوصًا عليها في كتب أحكام التجويد والترتيل </w:t>
      </w:r>
      <w:r>
        <w:rPr>
          <w:rFonts w:cs="Simplified Arabic"/>
          <w:sz w:val="30"/>
          <w:szCs w:val="30"/>
          <w:vertAlign w:val="superscript"/>
          <w:rtl/>
          <w:lang w:bidi="ar-EG"/>
        </w:rPr>
        <w:t xml:space="preserve">( </w:t>
      </w:r>
      <w:r>
        <w:rPr>
          <w:rStyle w:val="a5"/>
          <w:rFonts w:cs="Simplified Arabic"/>
          <w:sz w:val="30"/>
          <w:szCs w:val="30"/>
          <w:rtl/>
          <w:lang w:bidi="ar-EG"/>
        </w:rPr>
        <w:footnoteReference w:id="7"/>
      </w:r>
      <w:r>
        <w:rPr>
          <w:rFonts w:cs="Simplified Arabic"/>
          <w:sz w:val="30"/>
          <w:szCs w:val="30"/>
          <w:vertAlign w:val="superscript"/>
          <w:rtl/>
          <w:lang w:bidi="ar-EG"/>
        </w:rPr>
        <w:t xml:space="preserve"> )</w:t>
      </w:r>
      <w:r>
        <w:rPr>
          <w:rFonts w:cs="Simplified Arabic"/>
          <w:sz w:val="30"/>
          <w:szCs w:val="30"/>
          <w:rtl/>
          <w:lang w:bidi="ar-EG"/>
        </w:rPr>
        <w:t xml:space="preserve">، فضلاً عن كتب القراءات القرآنية </w:t>
      </w:r>
      <w:r>
        <w:rPr>
          <w:rFonts w:cs="Simplified Arabic"/>
          <w:sz w:val="30"/>
          <w:szCs w:val="30"/>
          <w:vertAlign w:val="superscript"/>
          <w:rtl/>
          <w:lang w:bidi="ar-EG"/>
        </w:rPr>
        <w:t xml:space="preserve">( </w:t>
      </w:r>
      <w:r>
        <w:rPr>
          <w:rStyle w:val="a5"/>
          <w:rFonts w:cs="Simplified Arabic"/>
          <w:sz w:val="30"/>
          <w:szCs w:val="30"/>
          <w:rtl/>
          <w:lang w:bidi="ar-EG"/>
        </w:rPr>
        <w:footnoteReference w:id="8"/>
      </w:r>
      <w:r>
        <w:rPr>
          <w:rFonts w:cs="Simplified Arabic"/>
          <w:sz w:val="30"/>
          <w:szCs w:val="30"/>
          <w:vertAlign w:val="superscript"/>
          <w:rtl/>
          <w:lang w:bidi="ar-EG"/>
        </w:rPr>
        <w:t xml:space="preserve"> )</w:t>
      </w:r>
      <w:r>
        <w:rPr>
          <w:rFonts w:cs="Simplified Arabic"/>
          <w:sz w:val="30"/>
          <w:szCs w:val="30"/>
          <w:rtl/>
          <w:lang w:bidi="ar-EG"/>
        </w:rPr>
        <w:t xml:space="preserve">، ولا تخلو منها كتب اللغة، وإن كانت مبثوثة فيها، وغير مبوبة </w:t>
      </w:r>
      <w:r>
        <w:rPr>
          <w:rFonts w:cs="Simplified Arabic"/>
          <w:sz w:val="30"/>
          <w:szCs w:val="30"/>
          <w:vertAlign w:val="superscript"/>
          <w:rtl/>
          <w:lang w:bidi="ar-EG"/>
        </w:rPr>
        <w:t xml:space="preserve">( </w:t>
      </w:r>
      <w:r>
        <w:rPr>
          <w:rStyle w:val="a5"/>
          <w:rFonts w:cs="Simplified Arabic"/>
          <w:sz w:val="30"/>
          <w:szCs w:val="30"/>
          <w:rtl/>
          <w:lang w:bidi="ar-EG"/>
        </w:rPr>
        <w:footnoteReference w:id="9"/>
      </w:r>
      <w:r>
        <w:rPr>
          <w:rFonts w:cs="Simplified Arabic"/>
          <w:sz w:val="30"/>
          <w:szCs w:val="30"/>
          <w:vertAlign w:val="superscript"/>
          <w:rtl/>
          <w:lang w:bidi="ar-EG"/>
        </w:rPr>
        <w:t xml:space="preserve"> )</w:t>
      </w:r>
      <w:r>
        <w:rPr>
          <w:rFonts w:cs="Simplified Arabic"/>
          <w:sz w:val="30"/>
          <w:szCs w:val="30"/>
          <w:rtl/>
          <w:lang w:bidi="ar-EG"/>
        </w:rPr>
        <w:t>.</w:t>
      </w:r>
    </w:p>
    <w:p w:rsidR="00F54FC5" w:rsidRDefault="00F54FC5" w:rsidP="00F54FC5">
      <w:pPr>
        <w:ind w:left="-1" w:firstLine="567"/>
        <w:jc w:val="both"/>
        <w:outlineLvl w:val="0"/>
        <w:rPr>
          <w:rFonts w:cs="Simplified Arabic"/>
          <w:sz w:val="30"/>
          <w:szCs w:val="30"/>
          <w:rtl/>
          <w:lang w:bidi="ar-EG"/>
        </w:rPr>
      </w:pPr>
      <w:r>
        <w:rPr>
          <w:rFonts w:cs="Simplified Arabic"/>
          <w:sz w:val="30"/>
          <w:szCs w:val="30"/>
          <w:rtl/>
          <w:lang w:bidi="ar-EG"/>
        </w:rPr>
        <w:t xml:space="preserve">فالطول والقصر لا يحدث على نحو عشوائي كما قد يتبادر إلى الذهن، بل ثمة أحكام محكمة، وقواعد صارمة تقيد هذا، ولعل خير ما أستأنس به في هذا الموضع قول </w:t>
      </w:r>
      <w:r>
        <w:rPr>
          <w:rFonts w:cs="Simplified Arabic"/>
          <w:sz w:val="30"/>
          <w:szCs w:val="30"/>
          <w:rtl/>
          <w:lang w:bidi="ar-EG"/>
        </w:rPr>
        <w:lastRenderedPageBreak/>
        <w:t>أبي عمرو الداني</w:t>
      </w:r>
      <w:r>
        <w:rPr>
          <w:rFonts w:cs="Simplified Arabic"/>
          <w:sz w:val="30"/>
          <w:szCs w:val="30"/>
          <w:rtl/>
          <w:lang w:bidi="ar-IQ"/>
        </w:rPr>
        <w:t xml:space="preserve">: </w:t>
      </w:r>
      <w:r>
        <w:rPr>
          <w:rFonts w:cs="Simplified Arabic"/>
          <w:b/>
          <w:bCs/>
          <w:rtl/>
          <w:lang w:bidi="ar-IQ"/>
        </w:rPr>
        <w:t>((</w:t>
      </w:r>
      <w:r>
        <w:rPr>
          <w:rFonts w:cs="Simplified Arabic"/>
          <w:sz w:val="30"/>
          <w:szCs w:val="30"/>
          <w:rtl/>
          <w:lang w:bidi="ar-IQ"/>
        </w:rPr>
        <w:t xml:space="preserve"> فأما ما يذهب إليه بعض أهل الغباوة من أهل الأداء من الإفراط في التمطيط، والتعسف في التفكيك، والإسراف في إشباع الحركات، وتلخيص السواكن، إلى غير ذلك من الألفاظ المستبشعة، والمذاهب المكروهة فخارج عن مذاهب الأئمة، وجمهور سلف الأمة، وقد وردت الآثار عنهم بكراهة ذلك، وبكيفية حقيقته</w:t>
      </w:r>
      <w:r>
        <w:rPr>
          <w:rFonts w:cs="Simplified Arabic"/>
          <w:b/>
          <w:bCs/>
          <w:rtl/>
          <w:lang w:bidi="ar-IQ"/>
        </w:rPr>
        <w:t>))</w:t>
      </w:r>
      <w:r>
        <w:rPr>
          <w:rFonts w:cs="Simplified Arabic"/>
          <w:sz w:val="30"/>
          <w:szCs w:val="30"/>
          <w:vertAlign w:val="superscript"/>
          <w:rtl/>
          <w:lang w:bidi="ar-EG"/>
        </w:rPr>
        <w:t>(</w:t>
      </w:r>
      <w:r>
        <w:rPr>
          <w:rStyle w:val="a5"/>
          <w:rFonts w:cs="Simplified Arabic"/>
          <w:sz w:val="30"/>
          <w:szCs w:val="30"/>
          <w:rtl/>
          <w:lang w:bidi="ar-EG"/>
        </w:rPr>
        <w:footnoteReference w:id="10"/>
      </w:r>
      <w:r>
        <w:rPr>
          <w:rFonts w:cs="Simplified Arabic"/>
          <w:sz w:val="30"/>
          <w:szCs w:val="30"/>
          <w:vertAlign w:val="superscript"/>
          <w:rtl/>
          <w:lang w:bidi="ar-EG"/>
        </w:rPr>
        <w:t>)</w:t>
      </w:r>
      <w:r>
        <w:rPr>
          <w:rFonts w:cs="Simplified Arabic"/>
          <w:sz w:val="30"/>
          <w:szCs w:val="30"/>
          <w:rtl/>
          <w:lang w:bidi="ar-IQ"/>
        </w:rPr>
        <w:t xml:space="preserve">، فهذا أمر مكروه غاية الكراهة إذا ورد في غير مورده، وجاء في غير موضعه، </w:t>
      </w:r>
      <w:r>
        <w:rPr>
          <w:rFonts w:cs="Simplified Arabic"/>
          <w:b/>
          <w:bCs/>
          <w:rtl/>
          <w:lang w:bidi="ar-IQ"/>
        </w:rPr>
        <w:t>((</w:t>
      </w:r>
      <w:r>
        <w:rPr>
          <w:rFonts w:cs="Simplified Arabic"/>
          <w:sz w:val="30"/>
          <w:szCs w:val="30"/>
          <w:rtl/>
          <w:lang w:bidi="ar-IQ"/>
        </w:rPr>
        <w:t>ونحن اليوم إذا أصغينا إلى قراء القرآن المتقنين، وهم يطبقون المدود في مواضعها، ويعطون كل حرف حقه من المد وجدنا ذلك لطيفاً لا تكلف فيه ولا اضطراب، وإذا سمعنا قارئاً يمد في غير مواضع المد بدا ذلك نابياً معيباً ثقيلاً على الآذان، مما يدل على أن أحكام المد إنما بُنيت على أساس صوتي صحيح</w:t>
      </w:r>
      <w:r>
        <w:rPr>
          <w:rFonts w:cs="Simplified Arabic"/>
          <w:b/>
          <w:bCs/>
          <w:rtl/>
          <w:lang w:bidi="ar-IQ"/>
        </w:rPr>
        <w:t>))</w:t>
      </w:r>
      <w:r>
        <w:rPr>
          <w:rFonts w:cs="Simplified Arabic"/>
          <w:sz w:val="30"/>
          <w:szCs w:val="30"/>
          <w:vertAlign w:val="superscript"/>
          <w:rtl/>
          <w:lang w:bidi="ar-EG"/>
        </w:rPr>
        <w:t>(</w:t>
      </w:r>
      <w:r>
        <w:rPr>
          <w:rStyle w:val="a5"/>
          <w:rFonts w:cs="Simplified Arabic"/>
          <w:sz w:val="30"/>
          <w:szCs w:val="30"/>
          <w:rtl/>
          <w:lang w:bidi="ar-EG"/>
        </w:rPr>
        <w:footnoteReference w:id="11"/>
      </w:r>
      <w:r>
        <w:rPr>
          <w:rFonts w:cs="Simplified Arabic"/>
          <w:sz w:val="30"/>
          <w:szCs w:val="30"/>
          <w:vertAlign w:val="superscript"/>
          <w:rtl/>
          <w:lang w:bidi="ar-EG"/>
        </w:rPr>
        <w:t>)</w:t>
      </w:r>
      <w:r>
        <w:rPr>
          <w:rFonts w:cs="Simplified Arabic"/>
          <w:sz w:val="30"/>
          <w:szCs w:val="30"/>
          <w:rtl/>
          <w:lang w:bidi="ar-EG"/>
        </w:rPr>
        <w:t>.</w:t>
      </w:r>
    </w:p>
    <w:p w:rsidR="005B3816" w:rsidRDefault="005B3816">
      <w:pPr>
        <w:rPr>
          <w:rFonts w:hint="cs"/>
          <w:lang w:bidi="ar-EG"/>
        </w:rPr>
      </w:pPr>
    </w:p>
    <w:sectPr w:rsidR="005B3816" w:rsidSect="007135EA">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A35" w:rsidRDefault="00716A35" w:rsidP="00F54FC5">
      <w:pPr>
        <w:spacing w:after="0" w:line="240" w:lineRule="auto"/>
      </w:pPr>
      <w:r>
        <w:separator/>
      </w:r>
    </w:p>
  </w:endnote>
  <w:endnote w:type="continuationSeparator" w:id="1">
    <w:p w:rsidR="00716A35" w:rsidRDefault="00716A35" w:rsidP="00F54F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A35" w:rsidRDefault="00716A35" w:rsidP="00F54FC5">
      <w:pPr>
        <w:spacing w:after="0" w:line="240" w:lineRule="auto"/>
      </w:pPr>
      <w:r>
        <w:separator/>
      </w:r>
    </w:p>
  </w:footnote>
  <w:footnote w:type="continuationSeparator" w:id="1">
    <w:p w:rsidR="00716A35" w:rsidRDefault="00716A35" w:rsidP="00F54FC5">
      <w:pPr>
        <w:spacing w:after="0" w:line="240" w:lineRule="auto"/>
      </w:pPr>
      <w:r>
        <w:continuationSeparator/>
      </w:r>
    </w:p>
  </w:footnote>
  <w:footnote w:id="2">
    <w:p w:rsidR="00F54FC5" w:rsidRDefault="00F54FC5" w:rsidP="00F54FC5">
      <w:pPr>
        <w:pStyle w:val="a4"/>
        <w:jc w:val="both"/>
        <w:rPr>
          <w:rFonts w:cs="Simplified Arabic" w:hint="cs"/>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w:t>
      </w:r>
      <w:r>
        <w:rPr>
          <w:rFonts w:cs="Simplified Arabic"/>
          <w:sz w:val="22"/>
          <w:szCs w:val="22"/>
          <w:rtl/>
          <w:lang w:bidi="ar-EG"/>
        </w:rPr>
        <w:t xml:space="preserve"> </w:t>
      </w:r>
      <w:r>
        <w:rPr>
          <w:rFonts w:cs="Simplified Arabic"/>
          <w:sz w:val="26"/>
          <w:szCs w:val="26"/>
          <w:rtl/>
          <w:lang w:bidi="ar-EG"/>
        </w:rPr>
        <w:t>التحديد في الإتقان والتجويد</w:t>
      </w:r>
      <w:r>
        <w:rPr>
          <w:rFonts w:ascii="Simplified Arabic" w:hAnsi="Simplified Arabic" w:cs="Simplified Arabic"/>
          <w:sz w:val="26"/>
          <w:szCs w:val="26"/>
          <w:rtl/>
          <w:lang w:bidi="ar-EG"/>
        </w:rPr>
        <w:t>، عثمان بن سعيد بن عثمان بن عمر، أبو عمرو الداني (ت 444 هـ)، تحقيق: د. غانم قدوري الحمد</w:t>
      </w:r>
      <w:r>
        <w:rPr>
          <w:rFonts w:cs="Simplified Arabic"/>
          <w:sz w:val="26"/>
          <w:szCs w:val="26"/>
          <w:rtl/>
          <w:lang w:bidi="ar-EG"/>
        </w:rPr>
        <w:t xml:space="preserve"> / 97</w:t>
      </w:r>
      <w:r>
        <w:rPr>
          <w:rFonts w:cs="Simplified Arabic"/>
          <w:sz w:val="22"/>
          <w:szCs w:val="22"/>
          <w:rtl/>
          <w:lang w:bidi="ar-IQ"/>
        </w:rPr>
        <w:t>.</w:t>
      </w:r>
    </w:p>
  </w:footnote>
  <w:footnote w:id="3">
    <w:p w:rsidR="00F54FC5" w:rsidRDefault="00F54FC5" w:rsidP="00F54FC5">
      <w:pPr>
        <w:pStyle w:val="a4"/>
        <w:jc w:val="both"/>
        <w:rPr>
          <w:rFonts w:cs="Simplified Arabic"/>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 يُنظر: الخصائص: 3 / 123</w:t>
      </w:r>
      <w:r>
        <w:rPr>
          <w:rFonts w:cs="Simplified Arabic"/>
          <w:sz w:val="26"/>
          <w:szCs w:val="26"/>
          <w:rtl/>
          <w:lang w:bidi="ar-IQ"/>
        </w:rPr>
        <w:t>.</w:t>
      </w:r>
    </w:p>
  </w:footnote>
  <w:footnote w:id="4">
    <w:p w:rsidR="00F54FC5" w:rsidRDefault="00F54FC5" w:rsidP="00F54FC5">
      <w:pPr>
        <w:pStyle w:val="a4"/>
        <w:jc w:val="both"/>
        <w:rPr>
          <w:rFonts w:cs="Simplified Arabic"/>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 xml:space="preserve">- يُنظر: </w:t>
      </w:r>
      <w:r>
        <w:rPr>
          <w:rFonts w:cs="Simplified Arabic"/>
          <w:sz w:val="26"/>
          <w:szCs w:val="26"/>
          <w:rtl/>
          <w:lang w:bidi="ar-IQ"/>
        </w:rPr>
        <w:t>المصدر نفسه</w:t>
      </w:r>
      <w:r>
        <w:rPr>
          <w:rFonts w:cs="Simplified Arabic"/>
          <w:sz w:val="26"/>
          <w:szCs w:val="26"/>
          <w:rtl/>
          <w:lang w:bidi="ar-EG"/>
        </w:rPr>
        <w:t>: 3 / 126</w:t>
      </w:r>
      <w:r>
        <w:rPr>
          <w:rFonts w:cs="Simplified Arabic"/>
          <w:sz w:val="26"/>
          <w:szCs w:val="26"/>
          <w:rtl/>
          <w:lang w:bidi="ar-IQ"/>
        </w:rPr>
        <w:t>.</w:t>
      </w:r>
    </w:p>
  </w:footnote>
  <w:footnote w:id="5">
    <w:p w:rsidR="00F54FC5" w:rsidRDefault="00F54FC5" w:rsidP="00F54FC5">
      <w:pPr>
        <w:pStyle w:val="a4"/>
        <w:jc w:val="both"/>
        <w:rPr>
          <w:rFonts w:cs="Simplified Arabic"/>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 xml:space="preserve">- النشر: 1/ 245 </w:t>
      </w:r>
      <w:r>
        <w:rPr>
          <w:rFonts w:cs="Simplified Arabic"/>
          <w:sz w:val="26"/>
          <w:szCs w:val="26"/>
          <w:rtl/>
          <w:lang w:bidi="ar-IQ"/>
        </w:rPr>
        <w:t xml:space="preserve"> </w:t>
      </w:r>
    </w:p>
  </w:footnote>
  <w:footnote w:id="6">
    <w:p w:rsidR="00F54FC5" w:rsidRDefault="00F54FC5" w:rsidP="00F54FC5">
      <w:pPr>
        <w:pStyle w:val="a4"/>
        <w:jc w:val="both"/>
        <w:rPr>
          <w:rFonts w:cs="Simplified Arabic"/>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 xml:space="preserve">- الدراسات الصوتية عند علماء التجويد / 507. </w:t>
      </w:r>
      <w:r>
        <w:rPr>
          <w:rFonts w:cs="Simplified Arabic"/>
          <w:sz w:val="26"/>
          <w:szCs w:val="26"/>
          <w:rtl/>
          <w:lang w:bidi="ar-IQ"/>
        </w:rPr>
        <w:t xml:space="preserve"> </w:t>
      </w:r>
    </w:p>
  </w:footnote>
  <w:footnote w:id="7">
    <w:p w:rsidR="00F54FC5" w:rsidRDefault="00F54FC5" w:rsidP="00F54FC5">
      <w:pPr>
        <w:pStyle w:val="a4"/>
        <w:jc w:val="both"/>
        <w:rPr>
          <w:rFonts w:cs="Simplified Arabic"/>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 يُنظر على سبيل التمثيل: التحديد في الإتقان والتجويد / 97 – 99</w:t>
      </w:r>
      <w:r>
        <w:rPr>
          <w:rFonts w:cs="Simplified Arabic"/>
          <w:sz w:val="26"/>
          <w:szCs w:val="26"/>
          <w:rtl/>
          <w:lang w:bidi="ar-IQ"/>
        </w:rPr>
        <w:t>، والتمهيد في علم التجويد</w:t>
      </w:r>
      <w:r>
        <w:rPr>
          <w:rFonts w:ascii="Simplified Arabic" w:hAnsi="Simplified Arabic" w:cs="Simplified Arabic"/>
          <w:sz w:val="26"/>
          <w:szCs w:val="26"/>
          <w:rtl/>
          <w:lang w:bidi="ar-EG"/>
        </w:rPr>
        <w:t>، شمس الدين أبو الخير بن الجزري محمد بن يوسف (ت 833 هـ)، تحقيق: د. علي حسين البواب</w:t>
      </w:r>
      <w:r>
        <w:rPr>
          <w:rFonts w:cs="Simplified Arabic"/>
          <w:sz w:val="26"/>
          <w:szCs w:val="26"/>
          <w:rtl/>
          <w:lang w:bidi="ar-IQ"/>
        </w:rPr>
        <w:t xml:space="preserve"> / 161 – 164، وجمال البيان في تجويد القرآن / 104 – 131، وتجويد القرآن الكريم من منظور علم الأصوات الحديث / 141 – 168. </w:t>
      </w:r>
    </w:p>
  </w:footnote>
  <w:footnote w:id="8">
    <w:p w:rsidR="00F54FC5" w:rsidRDefault="00F54FC5" w:rsidP="00F54FC5">
      <w:pPr>
        <w:pStyle w:val="a4"/>
        <w:jc w:val="both"/>
        <w:rPr>
          <w:rFonts w:cs="Simplified Arabic"/>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 يُنظر على سبيل التمثيل: السبعة / 134 – 136، والكشف عن وجوه القراءات السبع: 1 / 164 – 169، والتيسير / 30 – 31، والنشر: 1 / 245 – 282.</w:t>
      </w:r>
      <w:r>
        <w:rPr>
          <w:rFonts w:cs="Simplified Arabic"/>
          <w:sz w:val="26"/>
          <w:szCs w:val="26"/>
          <w:rtl/>
          <w:lang w:bidi="ar-IQ"/>
        </w:rPr>
        <w:t xml:space="preserve"> </w:t>
      </w:r>
    </w:p>
  </w:footnote>
  <w:footnote w:id="9">
    <w:p w:rsidR="00F54FC5" w:rsidRDefault="00F54FC5" w:rsidP="00F54FC5">
      <w:pPr>
        <w:pStyle w:val="a4"/>
        <w:jc w:val="both"/>
        <w:rPr>
          <w:rFonts w:cs="Simplified Arabic"/>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 xml:space="preserve">- يُنظر على سبيل التمثيل: كتاب سيبويه: 4 / 189 – 195، والمقتضب: 1 / 399 – 402، والخصائص: 3 / 123 – 135، وشرح الشافية: 2 / 339 – 365.  </w:t>
      </w:r>
      <w:r>
        <w:rPr>
          <w:rFonts w:cs="Simplified Arabic"/>
          <w:sz w:val="26"/>
          <w:szCs w:val="26"/>
          <w:rtl/>
          <w:lang w:bidi="ar-IQ"/>
        </w:rPr>
        <w:t xml:space="preserve"> </w:t>
      </w:r>
    </w:p>
  </w:footnote>
  <w:footnote w:id="10">
    <w:p w:rsidR="00F54FC5" w:rsidRDefault="00F54FC5" w:rsidP="00F54FC5">
      <w:pPr>
        <w:pStyle w:val="a3"/>
        <w:tabs>
          <w:tab w:val="left" w:pos="991"/>
        </w:tabs>
        <w:spacing w:after="0" w:line="240" w:lineRule="auto"/>
        <w:ind w:left="-1"/>
        <w:jc w:val="both"/>
        <w:outlineLvl w:val="0"/>
        <w:rPr>
          <w:rFonts w:cs="Simplified Arabic"/>
          <w:sz w:val="30"/>
          <w:szCs w:val="30"/>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w:t>
      </w:r>
      <w:r>
        <w:rPr>
          <w:rFonts w:cs="Simplified Arabic"/>
          <w:rtl/>
          <w:lang w:bidi="ar-EG"/>
        </w:rPr>
        <w:t xml:space="preserve"> </w:t>
      </w:r>
      <w:r>
        <w:rPr>
          <w:rFonts w:cs="Simplified Arabic"/>
          <w:sz w:val="26"/>
          <w:szCs w:val="26"/>
          <w:rtl/>
          <w:lang w:bidi="ar-IQ"/>
        </w:rPr>
        <w:t xml:space="preserve">التحديد في الإتقان والتجويد / 89. </w:t>
      </w:r>
    </w:p>
  </w:footnote>
  <w:footnote w:id="11">
    <w:p w:rsidR="00F54FC5" w:rsidRDefault="00F54FC5" w:rsidP="00F54FC5">
      <w:pPr>
        <w:pStyle w:val="a4"/>
        <w:jc w:val="both"/>
        <w:rPr>
          <w:rFonts w:cs="Simplified Arabic"/>
          <w:sz w:val="26"/>
          <w:szCs w:val="26"/>
          <w:rtl/>
          <w:lang w:bidi="ar-IQ"/>
        </w:rPr>
      </w:pPr>
      <w:r>
        <w:rPr>
          <w:rStyle w:val="a5"/>
          <w:rFonts w:cs="Simplified Arabic"/>
          <w:sz w:val="26"/>
          <w:szCs w:val="26"/>
        </w:rPr>
        <w:footnoteRef/>
      </w:r>
      <w:r>
        <w:rPr>
          <w:rFonts w:cs="Simplified Arabic"/>
          <w:sz w:val="26"/>
          <w:szCs w:val="26"/>
          <w:rtl/>
        </w:rPr>
        <w:t xml:space="preserve"> </w:t>
      </w:r>
      <w:r>
        <w:rPr>
          <w:rFonts w:cs="Simplified Arabic"/>
          <w:sz w:val="26"/>
          <w:szCs w:val="26"/>
          <w:rtl/>
          <w:lang w:bidi="ar-EG"/>
        </w:rPr>
        <w:t>- الدراسات الصوتية عند علماء التجويد / 531.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54FC5"/>
    <w:rsid w:val="005B3816"/>
    <w:rsid w:val="007135EA"/>
    <w:rsid w:val="00716A35"/>
    <w:rsid w:val="00F54F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C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4FC5"/>
    <w:pPr>
      <w:ind w:left="720"/>
      <w:contextualSpacing/>
    </w:pPr>
  </w:style>
  <w:style w:type="paragraph" w:styleId="a4">
    <w:name w:val="footnote text"/>
    <w:basedOn w:val="a"/>
    <w:link w:val="Char"/>
    <w:uiPriority w:val="99"/>
    <w:semiHidden/>
    <w:unhideWhenUsed/>
    <w:rsid w:val="00F54FC5"/>
    <w:pPr>
      <w:spacing w:after="0" w:line="240" w:lineRule="auto"/>
    </w:pPr>
    <w:rPr>
      <w:sz w:val="20"/>
      <w:szCs w:val="20"/>
    </w:rPr>
  </w:style>
  <w:style w:type="character" w:customStyle="1" w:styleId="Char">
    <w:name w:val="نص حاشية سفلية Char"/>
    <w:basedOn w:val="a0"/>
    <w:link w:val="a4"/>
    <w:uiPriority w:val="99"/>
    <w:semiHidden/>
    <w:rsid w:val="00F54FC5"/>
    <w:rPr>
      <w:sz w:val="20"/>
      <w:szCs w:val="20"/>
    </w:rPr>
  </w:style>
  <w:style w:type="character" w:styleId="a5">
    <w:name w:val="footnote reference"/>
    <w:basedOn w:val="a0"/>
    <w:uiPriority w:val="99"/>
    <w:semiHidden/>
    <w:unhideWhenUsed/>
    <w:rsid w:val="00F54FC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616</Words>
  <Characters>3514</Characters>
  <Application>Microsoft Office Word</Application>
  <DocSecurity>0</DocSecurity>
  <Lines>29</Lines>
  <Paragraphs>8</Paragraphs>
  <ScaleCrop>false</ScaleCrop>
  <Company/>
  <LinksUpToDate>false</LinksUpToDate>
  <CharactersWithSpaces>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alnaseem</dc:creator>
  <cp:lastModifiedBy>alnaseem</cp:lastModifiedBy>
  <cp:revision>1</cp:revision>
  <dcterms:created xsi:type="dcterms:W3CDTF">2018-06-09T13:10:00Z</dcterms:created>
  <dcterms:modified xsi:type="dcterms:W3CDTF">2018-06-09T13:10:00Z</dcterms:modified>
</cp:coreProperties>
</file>