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E06" w:rsidRPr="00EA2559" w:rsidRDefault="00A54E06" w:rsidP="00A54E06">
      <w:pPr>
        <w:ind w:left="360"/>
        <w:rPr>
          <w:rFonts w:ascii="Times New Roman" w:hAnsi="Times New Roman" w:cs="Times New Roman"/>
          <w:b/>
          <w:bCs/>
          <w:sz w:val="32"/>
          <w:szCs w:val="32"/>
          <w:rtl/>
          <w:lang w:bidi="ar-IQ"/>
        </w:rPr>
      </w:pPr>
      <w:r w:rsidRPr="00EA2559">
        <w:rPr>
          <w:rFonts w:ascii="Times New Roman" w:hAnsi="Times New Roman" w:cs="Times New Roman" w:hint="cs"/>
          <w:b/>
          <w:bCs/>
          <w:sz w:val="32"/>
          <w:szCs w:val="32"/>
          <w:rtl/>
          <w:lang w:bidi="ar-IQ"/>
        </w:rPr>
        <w:t xml:space="preserve">م/ 2  </w:t>
      </w:r>
      <w:r>
        <w:rPr>
          <w:rFonts w:ascii="Times New Roman" w:hAnsi="Times New Roman" w:cs="Times New Roman" w:hint="cs"/>
          <w:b/>
          <w:bCs/>
          <w:sz w:val="32"/>
          <w:szCs w:val="32"/>
          <w:rtl/>
          <w:lang w:bidi="ar-IQ"/>
        </w:rPr>
        <w:t xml:space="preserve">                    </w:t>
      </w:r>
      <w:r w:rsidRPr="00EA2559">
        <w:rPr>
          <w:rFonts w:ascii="Times New Roman" w:hAnsi="Times New Roman" w:cs="Times New Roman" w:hint="cs"/>
          <w:b/>
          <w:bCs/>
          <w:sz w:val="32"/>
          <w:szCs w:val="32"/>
          <w:rtl/>
          <w:lang w:bidi="ar-IQ"/>
        </w:rPr>
        <w:t xml:space="preserve"> مصول ولقاحات   </w:t>
      </w:r>
      <w:r>
        <w:rPr>
          <w:rFonts w:ascii="Times New Roman" w:hAnsi="Times New Roman" w:cs="Times New Roman" w:hint="cs"/>
          <w:b/>
          <w:bCs/>
          <w:sz w:val="32"/>
          <w:szCs w:val="32"/>
          <w:rtl/>
          <w:lang w:bidi="ar-IQ"/>
        </w:rPr>
        <w:t xml:space="preserve">     </w:t>
      </w:r>
      <w:r w:rsidRPr="00EA2559">
        <w:rPr>
          <w:rFonts w:ascii="Times New Roman" w:hAnsi="Times New Roman" w:cs="Times New Roman" w:hint="cs"/>
          <w:b/>
          <w:bCs/>
          <w:sz w:val="32"/>
          <w:szCs w:val="32"/>
          <w:rtl/>
          <w:lang w:bidi="ar-IQ"/>
        </w:rPr>
        <w:t xml:space="preserve">  أ.م.د. أسامه عبد الكاظم العجيلي</w:t>
      </w:r>
    </w:p>
    <w:p w:rsidR="00A54E06" w:rsidRPr="0037525D" w:rsidRDefault="00A54E06" w:rsidP="00A54E06">
      <w:pPr>
        <w:ind w:left="720"/>
        <w:rPr>
          <w:rFonts w:ascii="Times New Roman" w:hAnsi="Times New Roman" w:cs="Times New Roman" w:hint="cs"/>
          <w:b/>
          <w:bCs/>
          <w:sz w:val="32"/>
          <w:szCs w:val="32"/>
          <w:rtl/>
          <w:lang w:bidi="ar-IQ"/>
        </w:rPr>
      </w:pPr>
      <w:r w:rsidRPr="0037525D">
        <w:rPr>
          <w:rFonts w:ascii="Times New Roman" w:hAnsi="Times New Roman" w:cs="Times New Roman"/>
          <w:b/>
          <w:bCs/>
          <w:sz w:val="32"/>
          <w:szCs w:val="32"/>
          <w:rtl/>
          <w:lang w:bidi="ar-IQ"/>
        </w:rPr>
        <w:t xml:space="preserve">الكاما كلوبيولين البشري الطبيعي </w:t>
      </w:r>
      <w:r w:rsidRPr="0037525D">
        <w:rPr>
          <w:rFonts w:ascii="Times New Roman" w:hAnsi="Times New Roman" w:cs="Times New Roman"/>
          <w:b/>
          <w:bCs/>
          <w:sz w:val="32"/>
          <w:szCs w:val="32"/>
          <w:lang w:bidi="ar-IQ"/>
        </w:rPr>
        <w:t>Human</w:t>
      </w:r>
      <w:r>
        <w:rPr>
          <w:rFonts w:ascii="Times New Roman" w:hAnsi="Times New Roman" w:cs="Times New Roman"/>
          <w:b/>
          <w:bCs/>
          <w:sz w:val="32"/>
          <w:szCs w:val="32"/>
          <w:lang w:bidi="ar-IQ"/>
        </w:rPr>
        <w:t xml:space="preserve"> Natural</w:t>
      </w:r>
      <w:r w:rsidRPr="0037525D">
        <w:rPr>
          <w:rFonts w:ascii="Times New Roman" w:hAnsi="Times New Roman" w:cs="Times New Roman"/>
          <w:b/>
          <w:bCs/>
          <w:sz w:val="32"/>
          <w:szCs w:val="32"/>
          <w:lang w:bidi="ar-IQ"/>
        </w:rPr>
        <w:t xml:space="preserve">  Immunoglobulin (HNI) </w:t>
      </w:r>
    </w:p>
    <w:p w:rsidR="00A54E06" w:rsidRPr="00C12450" w:rsidRDefault="00A54E06" w:rsidP="00A54E06">
      <w:pPr>
        <w:ind w:left="720"/>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    إن الأمينوكلوبيولين ( </w:t>
      </w:r>
      <w:r w:rsidRPr="00C12450">
        <w:rPr>
          <w:rFonts w:ascii="Times New Roman" w:hAnsi="Times New Roman" w:cs="Times New Roman"/>
          <w:sz w:val="32"/>
          <w:szCs w:val="32"/>
          <w:lang w:bidi="ar-IQ"/>
        </w:rPr>
        <w:t>Immunoglobulin</w:t>
      </w:r>
      <w:r w:rsidRPr="00C12450">
        <w:rPr>
          <w:rFonts w:ascii="Times New Roman" w:hAnsi="Times New Roman" w:cs="Times New Roman"/>
          <w:sz w:val="32"/>
          <w:szCs w:val="32"/>
          <w:rtl/>
          <w:lang w:bidi="ar-IQ"/>
        </w:rPr>
        <w:t xml:space="preserve"> ) البشري الطبيعي هو الجزء ألبروتيني من بلازما الدم يحتوي على الجسام المضادة التي تكسب الشخص مناعة لبعض الإمراض المعدية ويحظر بواسطة تجزئه بروتينات البلازما بكحول </w:t>
      </w:r>
      <w:r w:rsidRPr="00C12450">
        <w:rPr>
          <w:rFonts w:ascii="Times New Roman" w:hAnsi="Times New Roman" w:cs="Times New Roman"/>
          <w:sz w:val="32"/>
          <w:szCs w:val="32"/>
          <w:lang w:bidi="ar-IQ"/>
        </w:rPr>
        <w:t>Ethanol</w:t>
      </w:r>
      <w:r w:rsidRPr="00C12450">
        <w:rPr>
          <w:rFonts w:ascii="Times New Roman" w:hAnsi="Times New Roman" w:cs="Times New Roman"/>
          <w:sz w:val="32"/>
          <w:szCs w:val="32"/>
          <w:rtl/>
          <w:lang w:bidi="ar-IQ"/>
        </w:rPr>
        <w:t xml:space="preserve"> وبذلك يمكن الحصول عليه بنقاوة </w:t>
      </w:r>
      <w:r w:rsidRPr="00C12450">
        <w:rPr>
          <w:rFonts w:ascii="Times New Roman" w:hAnsi="Times New Roman" w:cs="Times New Roman"/>
          <w:sz w:val="32"/>
          <w:szCs w:val="32"/>
          <w:lang w:bidi="ar-IQ"/>
        </w:rPr>
        <w:t>90</w:t>
      </w:r>
      <w:r w:rsidRPr="00C12450">
        <w:rPr>
          <w:rFonts w:ascii="Times New Roman" w:hAnsi="Times New Roman" w:cs="Times New Roman"/>
          <w:sz w:val="32"/>
          <w:szCs w:val="32"/>
          <w:rtl/>
          <w:lang w:bidi="ar-IQ"/>
        </w:rPr>
        <w:t xml:space="preserve">%على الأقل يحظر </w:t>
      </w:r>
      <w:r w:rsidRPr="00C12450">
        <w:rPr>
          <w:rFonts w:ascii="Times New Roman" w:hAnsi="Times New Roman" w:cs="Times New Roman"/>
          <w:sz w:val="32"/>
          <w:szCs w:val="32"/>
          <w:lang w:bidi="ar-IQ"/>
        </w:rPr>
        <w:t xml:space="preserve"> HNI</w:t>
      </w:r>
      <w:r w:rsidRPr="00C12450">
        <w:rPr>
          <w:rFonts w:ascii="Times New Roman" w:hAnsi="Times New Roman" w:cs="Times New Roman"/>
          <w:sz w:val="32"/>
          <w:szCs w:val="32"/>
          <w:rtl/>
          <w:lang w:bidi="ar-IQ"/>
        </w:rPr>
        <w:t xml:space="preserve"> من البلازما المتبرعين بالدم وكل وجبه منة بعد التحضير تعطي  تأثيرا علاجيا معينا. </w:t>
      </w:r>
    </w:p>
    <w:p w:rsidR="00A54E06" w:rsidRPr="00C12450" w:rsidRDefault="00A54E06" w:rsidP="00A54E06">
      <w:pPr>
        <w:ind w:left="720"/>
        <w:jc w:val="both"/>
        <w:rPr>
          <w:rFonts w:ascii="Times New Roman" w:hAnsi="Times New Roman" w:cs="Times New Roman"/>
          <w:sz w:val="32"/>
          <w:szCs w:val="32"/>
          <w:rtl/>
          <w:lang w:bidi="ar-IQ"/>
        </w:rPr>
      </w:pPr>
      <w:proofErr w:type="spellStart"/>
      <w:r w:rsidRPr="00C12450">
        <w:rPr>
          <w:rFonts w:ascii="Times New Roman" w:hAnsi="Times New Roman" w:cs="Times New Roman"/>
          <w:sz w:val="32"/>
          <w:szCs w:val="32"/>
          <w:rtl/>
          <w:lang w:bidi="ar-IQ"/>
        </w:rPr>
        <w:t>ان</w:t>
      </w:r>
      <w:proofErr w:type="spellEnd"/>
      <w:r w:rsidRPr="00C12450">
        <w:rPr>
          <w:rFonts w:ascii="Times New Roman" w:hAnsi="Times New Roman" w:cs="Times New Roman"/>
          <w:sz w:val="32"/>
          <w:szCs w:val="32"/>
          <w:rtl/>
          <w:lang w:bidi="ar-IQ"/>
        </w:rPr>
        <w:t xml:space="preserve"> أقسام </w:t>
      </w:r>
      <w:r w:rsidRPr="00C12450">
        <w:rPr>
          <w:rFonts w:ascii="Times New Roman" w:hAnsi="Times New Roman" w:cs="Times New Roman"/>
          <w:sz w:val="32"/>
          <w:szCs w:val="32"/>
          <w:lang w:bidi="ar-IQ"/>
        </w:rPr>
        <w:t>HNI</w:t>
      </w:r>
      <w:r w:rsidRPr="00C12450">
        <w:rPr>
          <w:rFonts w:ascii="Times New Roman" w:hAnsi="Times New Roman" w:cs="Times New Roman"/>
          <w:sz w:val="32"/>
          <w:szCs w:val="32"/>
          <w:rtl/>
          <w:lang w:bidi="ar-IQ"/>
        </w:rPr>
        <w:t xml:space="preserve"> المتمثلة في المحاليل الجاهزة للاستعمال تكون نسبتها كما هي موجودة في الأشخاص الأصحاء تقريبا ولذلك فان صنف (</w:t>
      </w:r>
      <w:r w:rsidRPr="00C12450">
        <w:rPr>
          <w:rFonts w:ascii="Times New Roman" w:hAnsi="Times New Roman" w:cs="Times New Roman"/>
          <w:sz w:val="32"/>
          <w:szCs w:val="32"/>
          <w:lang w:bidi="ar-IQ"/>
        </w:rPr>
        <w:t>G</w:t>
      </w:r>
      <w:r w:rsidRPr="00C12450">
        <w:rPr>
          <w:rFonts w:ascii="Times New Roman" w:hAnsi="Times New Roman" w:cs="Times New Roman"/>
          <w:sz w:val="32"/>
          <w:szCs w:val="32"/>
          <w:rtl/>
          <w:lang w:bidi="ar-IQ"/>
        </w:rPr>
        <w:t>) من الأمينوكلوبيولين (</w:t>
      </w:r>
      <w:r w:rsidRPr="00C12450">
        <w:rPr>
          <w:rFonts w:ascii="Times New Roman" w:hAnsi="Times New Roman" w:cs="Times New Roman"/>
          <w:sz w:val="32"/>
          <w:szCs w:val="32"/>
          <w:lang w:bidi="ar-IQ"/>
        </w:rPr>
        <w:t>IgG</w:t>
      </w:r>
      <w:r w:rsidRPr="00C12450">
        <w:rPr>
          <w:rFonts w:ascii="Times New Roman" w:hAnsi="Times New Roman" w:cs="Times New Roman"/>
          <w:sz w:val="32"/>
          <w:szCs w:val="32"/>
          <w:rtl/>
          <w:lang w:bidi="ar-IQ"/>
        </w:rPr>
        <w:t>) له نصيب واف من التركيز وذو قابليه جيده لمعادله السموم والفيروسات وهنالك نسبه قليله من صنف (</w:t>
      </w:r>
      <w:r w:rsidRPr="00C12450">
        <w:rPr>
          <w:rFonts w:ascii="Times New Roman" w:hAnsi="Times New Roman" w:cs="Times New Roman"/>
          <w:sz w:val="32"/>
          <w:szCs w:val="32"/>
          <w:lang w:bidi="ar-IQ"/>
        </w:rPr>
        <w:t>IgM</w:t>
      </w:r>
      <w:r w:rsidRPr="00C12450">
        <w:rPr>
          <w:rFonts w:ascii="Times New Roman" w:hAnsi="Times New Roman" w:cs="Times New Roman"/>
          <w:sz w:val="32"/>
          <w:szCs w:val="32"/>
          <w:rtl/>
          <w:lang w:bidi="ar-IQ"/>
        </w:rPr>
        <w:t>) (</w:t>
      </w:r>
      <w:r w:rsidRPr="00C12450">
        <w:rPr>
          <w:rFonts w:ascii="Times New Roman" w:hAnsi="Times New Roman" w:cs="Times New Roman"/>
          <w:sz w:val="32"/>
          <w:szCs w:val="32"/>
          <w:lang w:bidi="ar-IQ"/>
        </w:rPr>
        <w:t>IgA</w:t>
      </w:r>
      <w:r w:rsidRPr="00C12450">
        <w:rPr>
          <w:rFonts w:ascii="Times New Roman" w:hAnsi="Times New Roman" w:cs="Times New Roman"/>
          <w:sz w:val="32"/>
          <w:szCs w:val="32"/>
          <w:rtl/>
          <w:lang w:bidi="ar-IQ"/>
        </w:rPr>
        <w:t xml:space="preserve">)  المسؤولة عن انحلال البكتريا. </w:t>
      </w:r>
    </w:p>
    <w:p w:rsidR="00A54E06" w:rsidRPr="00C12450" w:rsidRDefault="00A54E06" w:rsidP="00A54E06">
      <w:pPr>
        <w:ind w:left="720"/>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إن </w:t>
      </w:r>
      <w:r w:rsidRPr="00C12450">
        <w:rPr>
          <w:rFonts w:ascii="Times New Roman" w:hAnsi="Times New Roman" w:cs="Times New Roman"/>
          <w:sz w:val="32"/>
          <w:szCs w:val="32"/>
          <w:lang w:bidi="ar-IQ"/>
        </w:rPr>
        <w:t>HNI</w:t>
      </w:r>
      <w:r w:rsidRPr="00C12450">
        <w:rPr>
          <w:rFonts w:ascii="Times New Roman" w:hAnsi="Times New Roman" w:cs="Times New Roman"/>
          <w:sz w:val="32"/>
          <w:szCs w:val="32"/>
          <w:rtl/>
          <w:lang w:bidi="ar-IQ"/>
        </w:rPr>
        <w:t xml:space="preserve"> بما يمكنه من تلطيف شده المرض أو منع عدد من الأمراض الفيروسية ومعادله بعض السموم البكتيرية لا يجب  أن ينظر إليه كمانع للإصابات المرضية البكتيرية. </w:t>
      </w:r>
    </w:p>
    <w:p w:rsidR="00A54E06" w:rsidRPr="00C12450" w:rsidRDefault="00A54E06" w:rsidP="00A54E06">
      <w:pPr>
        <w:ind w:left="720"/>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أما المناعة المكتسبة بعد استعمال الأمينوكلوبيولين فهي قصيرة الأمد كأية مناعة سلبيه تتراوح بين 3-5 أسابيع وتبعا لذلك فأن كان خطر الإصابة المرضية لازال ماثلا يمكن حينذاك إعادة الجرعة ولا مانع أو خطر في استعماله. </w:t>
      </w:r>
    </w:p>
    <w:p w:rsidR="00A54E06" w:rsidRPr="00C12450" w:rsidRDefault="00A54E06" w:rsidP="00A54E06">
      <w:pPr>
        <w:ind w:left="720"/>
        <w:rPr>
          <w:rFonts w:ascii="Times New Roman" w:hAnsi="Times New Roman" w:cs="Times New Roman" w:hint="cs"/>
          <w:b/>
          <w:bCs/>
          <w:sz w:val="32"/>
          <w:szCs w:val="32"/>
          <w:u w:val="single"/>
          <w:rtl/>
          <w:lang w:bidi="ar-IQ"/>
        </w:rPr>
      </w:pPr>
      <w:r w:rsidRPr="00C12450">
        <w:rPr>
          <w:rFonts w:ascii="Times New Roman" w:hAnsi="Times New Roman" w:cs="Times New Roman"/>
          <w:b/>
          <w:bCs/>
          <w:sz w:val="32"/>
          <w:szCs w:val="32"/>
          <w:u w:val="single"/>
          <w:rtl/>
          <w:lang w:bidi="ar-IQ"/>
        </w:rPr>
        <w:t xml:space="preserve">مصل الكزاز البشري </w:t>
      </w:r>
      <w:r w:rsidRPr="00C12450">
        <w:rPr>
          <w:rFonts w:ascii="Times New Roman" w:hAnsi="Times New Roman" w:cs="Times New Roman"/>
          <w:b/>
          <w:bCs/>
          <w:sz w:val="32"/>
          <w:szCs w:val="32"/>
          <w:u w:val="single"/>
          <w:lang w:bidi="ar-IQ"/>
        </w:rPr>
        <w:t>TETANUS    HUMAN   IMMUNOGLOBULIN</w:t>
      </w:r>
    </w:p>
    <w:p w:rsidR="00A54E06" w:rsidRPr="00C12450" w:rsidRDefault="00A54E06" w:rsidP="00A54E06">
      <w:pPr>
        <w:ind w:left="720"/>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وهو مستحضر خاص من الكاما كلوبيولين  البشري مجزأ من البروتينات البلازما ويستعمل للوقاية الآنية السلبية من مرض الكزاز واستعماله في هذا المجال خال من ردود فعل الحساسية التي طالما تحدث نتيجة استعمال مصل الكزاز الحيواني كما إن وجوده الفعال في الدورة الدموية يمتد إلي 3-4 أسابيع وهي أطول فتره من وجود المصل الحيواني في الدورة الدموية </w:t>
      </w:r>
    </w:p>
    <w:p w:rsidR="00A54E06" w:rsidRPr="00C12450" w:rsidRDefault="00A54E06" w:rsidP="00A54E06">
      <w:pPr>
        <w:ind w:left="720"/>
        <w:rPr>
          <w:rFonts w:ascii="Times New Roman" w:hAnsi="Times New Roman" w:cs="Times New Roman"/>
          <w:b/>
          <w:bCs/>
          <w:sz w:val="32"/>
          <w:szCs w:val="32"/>
          <w:u w:val="single"/>
          <w:rtl/>
          <w:lang w:bidi="ar-IQ"/>
        </w:rPr>
      </w:pPr>
      <w:r w:rsidRPr="00C12450">
        <w:rPr>
          <w:rFonts w:ascii="Times New Roman" w:hAnsi="Times New Roman" w:cs="Times New Roman"/>
          <w:b/>
          <w:bCs/>
          <w:sz w:val="32"/>
          <w:szCs w:val="32"/>
          <w:u w:val="single"/>
          <w:rtl/>
          <w:lang w:bidi="ar-IQ"/>
        </w:rPr>
        <w:t xml:space="preserve">استعمال المصل </w:t>
      </w:r>
    </w:p>
    <w:p w:rsidR="00A54E06" w:rsidRPr="00C12450" w:rsidRDefault="00A54E06" w:rsidP="00A54E06">
      <w:pPr>
        <w:numPr>
          <w:ilvl w:val="0"/>
          <w:numId w:val="1"/>
        </w:numPr>
        <w:rPr>
          <w:rFonts w:ascii="Times New Roman" w:hAnsi="Times New Roman" w:cs="Times New Roman"/>
          <w:b/>
          <w:bCs/>
          <w:sz w:val="32"/>
          <w:szCs w:val="32"/>
          <w:lang w:bidi="ar-IQ"/>
        </w:rPr>
      </w:pPr>
      <w:r w:rsidRPr="00C12450">
        <w:rPr>
          <w:rFonts w:ascii="Times New Roman" w:hAnsi="Times New Roman" w:cs="Times New Roman"/>
          <w:b/>
          <w:bCs/>
          <w:sz w:val="32"/>
          <w:szCs w:val="32"/>
          <w:rtl/>
          <w:lang w:bidi="ar-IQ"/>
        </w:rPr>
        <w:lastRenderedPageBreak/>
        <w:t xml:space="preserve">الاستعمال الوقائي </w:t>
      </w:r>
    </w:p>
    <w:p w:rsidR="00A54E06" w:rsidRPr="00C12450" w:rsidRDefault="00A54E06" w:rsidP="00A54E06">
      <w:pPr>
        <w:ind w:left="1080"/>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المناعة السلبية:- </w:t>
      </w:r>
    </w:p>
    <w:p w:rsidR="00A54E06" w:rsidRPr="00C12450" w:rsidRDefault="00A54E06" w:rsidP="00A54E06">
      <w:pPr>
        <w:ind w:left="1080"/>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تزرق جرعه واحد ه بمقدار 250 وحده دوائية في العضلة ويعاد زرق جرعه أخرى مساوية في الحالات الأتيه :- </w:t>
      </w:r>
    </w:p>
    <w:p w:rsidR="00A54E06" w:rsidRPr="00C12450" w:rsidRDefault="00A54E06" w:rsidP="00A54E06">
      <w:pPr>
        <w:numPr>
          <w:ilvl w:val="0"/>
          <w:numId w:val="2"/>
        </w:numPr>
        <w:rPr>
          <w:rFonts w:ascii="Times New Roman" w:hAnsi="Times New Roman" w:cs="Times New Roman"/>
          <w:sz w:val="32"/>
          <w:szCs w:val="32"/>
          <w:lang w:bidi="ar-IQ"/>
        </w:rPr>
      </w:pPr>
      <w:r w:rsidRPr="00C12450">
        <w:rPr>
          <w:rFonts w:ascii="Times New Roman" w:hAnsi="Times New Roman" w:cs="Times New Roman"/>
          <w:sz w:val="32"/>
          <w:szCs w:val="32"/>
          <w:rtl/>
          <w:lang w:bidi="ar-IQ"/>
        </w:rPr>
        <w:t xml:space="preserve"> التلوث الشديد في الجروح .</w:t>
      </w:r>
    </w:p>
    <w:p w:rsidR="00A54E06" w:rsidRPr="00C12450" w:rsidRDefault="00A54E06" w:rsidP="00A54E06">
      <w:pPr>
        <w:numPr>
          <w:ilvl w:val="0"/>
          <w:numId w:val="2"/>
        </w:numPr>
        <w:rPr>
          <w:rFonts w:ascii="Times New Roman" w:hAnsi="Times New Roman" w:cs="Times New Roman"/>
          <w:sz w:val="32"/>
          <w:szCs w:val="32"/>
          <w:lang w:bidi="ar-IQ"/>
        </w:rPr>
      </w:pPr>
      <w:r w:rsidRPr="00C12450">
        <w:rPr>
          <w:rFonts w:ascii="Times New Roman" w:hAnsi="Times New Roman" w:cs="Times New Roman"/>
          <w:sz w:val="32"/>
          <w:szCs w:val="32"/>
          <w:rtl/>
          <w:lang w:bidi="ar-IQ"/>
        </w:rPr>
        <w:t xml:space="preserve">الجروح التي مضى عليها أكثر من 12ساعه. </w:t>
      </w:r>
    </w:p>
    <w:p w:rsidR="00A54E06" w:rsidRPr="00C12450" w:rsidRDefault="00A54E06" w:rsidP="00A54E06">
      <w:pPr>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             ج. المرضى الذين تتعدى أوزانهم 90كغم .</w:t>
      </w:r>
    </w:p>
    <w:p w:rsidR="00A54E06" w:rsidRPr="00C12450" w:rsidRDefault="00A54E06" w:rsidP="00A54E06">
      <w:pPr>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كذلك تعطي جرعه إضافية وبمقدار 250 وحده دوليه في العضلة بعد (3-4) أسابيع من الجرعة الأولى في الحالات الأتيه:- </w:t>
      </w:r>
    </w:p>
    <w:p w:rsidR="00A54E06" w:rsidRPr="00C12450" w:rsidRDefault="00A54E06" w:rsidP="00A54E06">
      <w:pPr>
        <w:numPr>
          <w:ilvl w:val="0"/>
          <w:numId w:val="3"/>
        </w:numPr>
        <w:rPr>
          <w:rFonts w:ascii="Times New Roman" w:hAnsi="Times New Roman" w:cs="Times New Roman"/>
          <w:sz w:val="32"/>
          <w:szCs w:val="32"/>
          <w:lang w:bidi="ar-IQ"/>
        </w:rPr>
      </w:pPr>
      <w:r w:rsidRPr="00C12450">
        <w:rPr>
          <w:rFonts w:ascii="Times New Roman" w:hAnsi="Times New Roman" w:cs="Times New Roman"/>
          <w:sz w:val="32"/>
          <w:szCs w:val="32"/>
          <w:rtl/>
          <w:lang w:bidi="ar-IQ"/>
        </w:rPr>
        <w:t xml:space="preserve">نقص الكما كلوبيولين في الجسم. </w:t>
      </w:r>
    </w:p>
    <w:p w:rsidR="00A54E06" w:rsidRPr="00C12450" w:rsidRDefault="00A54E06" w:rsidP="00A54E06">
      <w:pPr>
        <w:numPr>
          <w:ilvl w:val="0"/>
          <w:numId w:val="3"/>
        </w:numPr>
        <w:rPr>
          <w:rFonts w:ascii="Times New Roman" w:hAnsi="Times New Roman" w:cs="Times New Roman"/>
          <w:sz w:val="32"/>
          <w:szCs w:val="32"/>
          <w:lang w:bidi="ar-IQ"/>
        </w:rPr>
      </w:pPr>
      <w:r w:rsidRPr="00C12450">
        <w:rPr>
          <w:rFonts w:ascii="Times New Roman" w:hAnsi="Times New Roman" w:cs="Times New Roman"/>
          <w:sz w:val="32"/>
          <w:szCs w:val="32"/>
          <w:rtl/>
          <w:lang w:bidi="ar-IQ"/>
        </w:rPr>
        <w:t xml:space="preserve">عدم كفاءة الأجسام المضادة داخل الجسم في الحالات المعالجة  بالأشعة أو مواد الكورتيزون أو في حالات الحروق الشديدة. </w:t>
      </w:r>
    </w:p>
    <w:p w:rsidR="00A54E06" w:rsidRPr="00C12450" w:rsidRDefault="00A54E06" w:rsidP="00A54E06">
      <w:pPr>
        <w:ind w:left="720"/>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التحصين المناعي الفعال (الأساسي والمنشط) باستعمال توكسيد الكزاز أضافه للمصل ويفضل إجراؤه في الحالات الأتيه :-</w:t>
      </w:r>
    </w:p>
    <w:p w:rsidR="00A54E06" w:rsidRPr="00C12450" w:rsidRDefault="00A54E06" w:rsidP="00A54E06">
      <w:pPr>
        <w:ind w:left="720"/>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 فقدان أو عدم دقه المعلومات عن سبق وأن تم تحصين المصاب بمناعة فعاله في الماضي بتوكسيد الكزاز. </w:t>
      </w:r>
    </w:p>
    <w:p w:rsidR="00A54E06" w:rsidRPr="00C12450" w:rsidRDefault="00A54E06" w:rsidP="00A54E06">
      <w:pPr>
        <w:ind w:left="720"/>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نقص الكاما كلوبيولين أو عدم كفاءة الأجسام المضادة في الجسم .</w:t>
      </w:r>
    </w:p>
    <w:p w:rsidR="00A54E06" w:rsidRPr="00C12450" w:rsidRDefault="00A54E06" w:rsidP="00A54E06">
      <w:pPr>
        <w:ind w:left="720"/>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 التلوث الشديد في الجروح  أو الحروق الشديدة أو الإهمال للجروح لمده أكثر من 12ساعه </w:t>
      </w:r>
    </w:p>
    <w:p w:rsidR="00A54E06" w:rsidRPr="00C12450" w:rsidRDefault="00A54E06" w:rsidP="00A54E06">
      <w:pPr>
        <w:ind w:left="720"/>
        <w:rPr>
          <w:rFonts w:ascii="Times New Roman" w:hAnsi="Times New Roman" w:cs="Times New Roman"/>
          <w:b/>
          <w:bCs/>
          <w:sz w:val="32"/>
          <w:szCs w:val="32"/>
          <w:rtl/>
          <w:lang w:bidi="ar-IQ"/>
        </w:rPr>
      </w:pPr>
      <w:r w:rsidRPr="00C12450">
        <w:rPr>
          <w:rFonts w:ascii="Times New Roman" w:hAnsi="Times New Roman" w:cs="Times New Roman"/>
          <w:b/>
          <w:bCs/>
          <w:sz w:val="32"/>
          <w:szCs w:val="32"/>
          <w:rtl/>
          <w:lang w:bidi="ar-IQ"/>
        </w:rPr>
        <w:t xml:space="preserve">منهج التلقيح الفعال بتوكسيد الكزاز </w:t>
      </w:r>
    </w:p>
    <w:p w:rsidR="00A54E06" w:rsidRPr="00C12450" w:rsidRDefault="00A54E06" w:rsidP="00A54E06">
      <w:pPr>
        <w:ind w:left="720"/>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التلقيح الأساسي ثلاث جرع  من توكسيد الكزاز بمقدار 1/2سم3 لكل جرة في العضلة أو تحت الجلد وبفترة (3-6) أسابيع بين الجرعة الأولى والجرعة الثانية بعد سنه واحدة  من الجرعة الثانية </w:t>
      </w:r>
    </w:p>
    <w:p w:rsidR="00A54E06" w:rsidRPr="00C12450" w:rsidRDefault="00A54E06" w:rsidP="00A54E06">
      <w:pPr>
        <w:ind w:left="720"/>
        <w:rPr>
          <w:rFonts w:ascii="Times New Roman" w:hAnsi="Times New Roman" w:cs="Times New Roman"/>
          <w:b/>
          <w:bCs/>
          <w:sz w:val="32"/>
          <w:szCs w:val="32"/>
          <w:rtl/>
          <w:lang w:bidi="ar-IQ"/>
        </w:rPr>
      </w:pPr>
      <w:r w:rsidRPr="00C12450">
        <w:rPr>
          <w:rFonts w:ascii="Times New Roman" w:hAnsi="Times New Roman" w:cs="Times New Roman"/>
          <w:b/>
          <w:bCs/>
          <w:sz w:val="32"/>
          <w:szCs w:val="32"/>
          <w:rtl/>
          <w:lang w:bidi="ar-IQ"/>
        </w:rPr>
        <w:t xml:space="preserve">التلقيح المنشط </w:t>
      </w:r>
    </w:p>
    <w:p w:rsidR="00A54E06" w:rsidRPr="00C12450" w:rsidRDefault="00A54E06" w:rsidP="00A54E06">
      <w:pPr>
        <w:ind w:left="720"/>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جرعه واحده  1/2سم 3  كل 5-10سنوات </w:t>
      </w:r>
    </w:p>
    <w:p w:rsidR="00A54E06" w:rsidRPr="00C12450" w:rsidRDefault="00A54E06" w:rsidP="00A54E06">
      <w:pPr>
        <w:ind w:left="720"/>
        <w:rPr>
          <w:rFonts w:ascii="Times New Roman" w:hAnsi="Times New Roman" w:cs="Times New Roman"/>
          <w:b/>
          <w:bCs/>
          <w:sz w:val="32"/>
          <w:szCs w:val="32"/>
          <w:rtl/>
          <w:lang w:bidi="ar-IQ"/>
        </w:rPr>
      </w:pPr>
      <w:r w:rsidRPr="00C12450">
        <w:rPr>
          <w:rFonts w:ascii="Times New Roman" w:hAnsi="Times New Roman" w:cs="Times New Roman"/>
          <w:b/>
          <w:bCs/>
          <w:sz w:val="32"/>
          <w:szCs w:val="32"/>
          <w:rtl/>
          <w:lang w:bidi="ar-IQ"/>
        </w:rPr>
        <w:t xml:space="preserve">الاستعمال العلاجي </w:t>
      </w:r>
    </w:p>
    <w:p w:rsidR="00A54E06" w:rsidRPr="00C12450" w:rsidRDefault="00A54E06" w:rsidP="00A54E06">
      <w:pPr>
        <w:ind w:left="720"/>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في حاله الإصابة بمرض الكزاز يعطي  مصل الكزاز البشري بمقدار (30-300) وحده دوليه 1/كغم من وزن الجسم في العضلة. </w:t>
      </w:r>
    </w:p>
    <w:p w:rsidR="00A54E06" w:rsidRPr="00C12450" w:rsidRDefault="00A54E06" w:rsidP="00A54E06">
      <w:pPr>
        <w:ind w:left="720"/>
        <w:rPr>
          <w:rFonts w:ascii="Times New Roman" w:hAnsi="Times New Roman" w:cs="Times New Roman"/>
          <w:b/>
          <w:bCs/>
          <w:sz w:val="32"/>
          <w:szCs w:val="32"/>
          <w:rtl/>
          <w:lang w:bidi="ar-IQ"/>
        </w:rPr>
      </w:pPr>
      <w:r w:rsidRPr="00C12450">
        <w:rPr>
          <w:rFonts w:ascii="Times New Roman" w:hAnsi="Times New Roman" w:cs="Times New Roman"/>
          <w:b/>
          <w:bCs/>
          <w:sz w:val="32"/>
          <w:szCs w:val="32"/>
          <w:rtl/>
          <w:lang w:bidi="ar-IQ"/>
        </w:rPr>
        <w:t xml:space="preserve">ردود الفعل </w:t>
      </w:r>
    </w:p>
    <w:p w:rsidR="00A54E06" w:rsidRPr="00C12450" w:rsidRDefault="00A54E06" w:rsidP="00A54E06">
      <w:pPr>
        <w:ind w:left="720"/>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تكاد تكون ردود الفعل  بعد تعاطي مصل الكزاز البشري نادرة جدا وتتمثل بحالات الحساسية الشديدة </w:t>
      </w:r>
      <w:r w:rsidRPr="00C12450">
        <w:rPr>
          <w:rFonts w:ascii="Times New Roman" w:hAnsi="Times New Roman" w:cs="Times New Roman"/>
          <w:sz w:val="32"/>
          <w:szCs w:val="32"/>
          <w:lang w:bidi="ar-IQ"/>
        </w:rPr>
        <w:t>Anaphlyiactoid    Reaction</w:t>
      </w:r>
      <w:r w:rsidRPr="00C12450">
        <w:rPr>
          <w:rFonts w:ascii="Times New Roman" w:hAnsi="Times New Roman" w:cs="Times New Roman"/>
          <w:sz w:val="32"/>
          <w:szCs w:val="32"/>
          <w:rtl/>
          <w:lang w:bidi="ar-IQ"/>
        </w:rPr>
        <w:t>.</w:t>
      </w:r>
    </w:p>
    <w:p w:rsidR="00A54E06" w:rsidRPr="00C12450" w:rsidRDefault="00A54E06" w:rsidP="00A54E06">
      <w:pPr>
        <w:rPr>
          <w:rFonts w:ascii="Times New Roman" w:hAnsi="Times New Roman" w:cs="Times New Roman" w:hint="cs"/>
          <w:sz w:val="32"/>
          <w:szCs w:val="32"/>
          <w:rtl/>
          <w:lang w:bidi="ar-IQ"/>
        </w:rPr>
      </w:pPr>
      <w:r w:rsidRPr="00C12450">
        <w:rPr>
          <w:rFonts w:ascii="Times New Roman" w:hAnsi="Times New Roman" w:cs="Times New Roman"/>
          <w:sz w:val="32"/>
          <w:szCs w:val="32"/>
          <w:rtl/>
          <w:lang w:bidi="ar-IQ"/>
        </w:rPr>
        <w:t>وتشاهد في بعض الحالات وأهمها :-</w:t>
      </w:r>
    </w:p>
    <w:p w:rsidR="00A54E06" w:rsidRPr="00C12450" w:rsidRDefault="00A54E06" w:rsidP="00A54E06">
      <w:pPr>
        <w:numPr>
          <w:ilvl w:val="0"/>
          <w:numId w:val="5"/>
        </w:numPr>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 المرضى المصابون بنقص الكاماكلوبيولين </w:t>
      </w:r>
    </w:p>
    <w:p w:rsidR="00A54E06" w:rsidRPr="00C12450" w:rsidRDefault="00A54E06" w:rsidP="00A54E06">
      <w:pPr>
        <w:numPr>
          <w:ilvl w:val="0"/>
          <w:numId w:val="5"/>
        </w:numPr>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المرضى الذين يملكون أنتي بوديز ضد الأمينوكلوبيولين (</w:t>
      </w:r>
      <w:r w:rsidRPr="00C12450">
        <w:rPr>
          <w:rFonts w:ascii="Times New Roman" w:hAnsi="Times New Roman" w:cs="Times New Roman"/>
          <w:sz w:val="32"/>
          <w:szCs w:val="32"/>
          <w:lang w:bidi="ar-IQ"/>
        </w:rPr>
        <w:t>A</w:t>
      </w:r>
      <w:r w:rsidRPr="00C12450">
        <w:rPr>
          <w:rFonts w:ascii="Times New Roman" w:hAnsi="Times New Roman" w:cs="Times New Roman"/>
          <w:sz w:val="32"/>
          <w:szCs w:val="32"/>
          <w:rtl/>
          <w:lang w:bidi="ar-IQ"/>
        </w:rPr>
        <w:t xml:space="preserve">) </w:t>
      </w:r>
    </w:p>
    <w:p w:rsidR="00A54E06" w:rsidRPr="00C12450" w:rsidRDefault="00A54E06" w:rsidP="00A54E06">
      <w:pPr>
        <w:numPr>
          <w:ilvl w:val="0"/>
          <w:numId w:val="4"/>
        </w:numPr>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 xml:space="preserve">المرضى الذين تظهر عليهم ردود الفعل عند نقل الدم أو مشتقات الدم إليهم </w:t>
      </w:r>
    </w:p>
    <w:p w:rsidR="00A54E06" w:rsidRPr="00C12450" w:rsidRDefault="00A54E06" w:rsidP="00A54E06">
      <w:pPr>
        <w:rPr>
          <w:rFonts w:ascii="Times New Roman" w:hAnsi="Times New Roman" w:cs="Times New Roman"/>
          <w:b/>
          <w:bCs/>
          <w:sz w:val="32"/>
          <w:szCs w:val="32"/>
          <w:rtl/>
          <w:lang w:bidi="ar-IQ"/>
        </w:rPr>
      </w:pPr>
      <w:r w:rsidRPr="00C12450">
        <w:rPr>
          <w:rFonts w:ascii="Times New Roman" w:hAnsi="Times New Roman" w:cs="Times New Roman"/>
          <w:b/>
          <w:bCs/>
          <w:sz w:val="32"/>
          <w:szCs w:val="32"/>
          <w:rtl/>
          <w:lang w:bidi="ar-IQ"/>
        </w:rPr>
        <w:t xml:space="preserve">عبوات المصل وطبيعته </w:t>
      </w:r>
    </w:p>
    <w:p w:rsidR="00A54E06" w:rsidRPr="006242E0" w:rsidRDefault="00A54E06" w:rsidP="00A54E06">
      <w:pPr>
        <w:jc w:val="both"/>
        <w:rPr>
          <w:rFonts w:ascii="Times New Roman" w:hAnsi="Times New Roman" w:cs="Times New Roman"/>
          <w:sz w:val="32"/>
          <w:szCs w:val="32"/>
          <w:rtl/>
          <w:lang w:bidi="ar-IQ"/>
        </w:rPr>
      </w:pPr>
      <w:r w:rsidRPr="00C12450">
        <w:rPr>
          <w:rFonts w:ascii="Times New Roman" w:hAnsi="Times New Roman" w:cs="Times New Roman"/>
          <w:sz w:val="32"/>
          <w:szCs w:val="32"/>
          <w:rtl/>
          <w:lang w:bidi="ar-IQ"/>
        </w:rPr>
        <w:t>يجهز المصل عادة بعبوات تحتوي على  250 وحده دوليه ويفضل النوع ال</w:t>
      </w:r>
      <w:r>
        <w:rPr>
          <w:rFonts w:ascii="Times New Roman" w:hAnsi="Times New Roman" w:cs="Times New Roman" w:hint="cs"/>
          <w:sz w:val="32"/>
          <w:szCs w:val="32"/>
          <w:rtl/>
          <w:lang w:bidi="ar-IQ"/>
        </w:rPr>
        <w:t>م</w:t>
      </w:r>
      <w:r w:rsidRPr="00C12450">
        <w:rPr>
          <w:rFonts w:ascii="Times New Roman" w:hAnsi="Times New Roman" w:cs="Times New Roman"/>
          <w:sz w:val="32"/>
          <w:szCs w:val="32"/>
          <w:rtl/>
          <w:lang w:bidi="ar-IQ"/>
        </w:rPr>
        <w:t>جفف بطريقه التجفيف الأنجمادي على أن يحفظ بعدها مبردا بدرجه (2-8) ويحفظ بفعاليته لمده أقصاها  5 سنوات في أحسن الظروف.</w:t>
      </w:r>
      <w:r w:rsidRPr="006242E0">
        <w:rPr>
          <w:rFonts w:ascii="Times New Roman" w:hAnsi="Times New Roman" w:cs="Times New Roman"/>
          <w:sz w:val="32"/>
          <w:szCs w:val="32"/>
          <w:rtl/>
          <w:lang w:bidi="ar-IQ"/>
        </w:rPr>
        <w:t xml:space="preserve"> </w:t>
      </w:r>
    </w:p>
    <w:p w:rsidR="00B66E25" w:rsidRDefault="00B66E25">
      <w:pPr>
        <w:rPr>
          <w:lang w:bidi="ar-IQ"/>
        </w:rPr>
      </w:pPr>
    </w:p>
    <w:sectPr w:rsidR="00B66E25" w:rsidSect="00B40A8D">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46BB8"/>
    <w:multiLevelType w:val="hybridMultilevel"/>
    <w:tmpl w:val="B6D6C390"/>
    <w:lvl w:ilvl="0" w:tplc="FBBC0B5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70839DE"/>
    <w:multiLevelType w:val="hybridMultilevel"/>
    <w:tmpl w:val="EBD61CDA"/>
    <w:lvl w:ilvl="0" w:tplc="EE12A83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DD673C"/>
    <w:multiLevelType w:val="hybridMultilevel"/>
    <w:tmpl w:val="68BA2B0E"/>
    <w:lvl w:ilvl="0" w:tplc="10140F6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E40DB6"/>
    <w:multiLevelType w:val="hybridMultilevel"/>
    <w:tmpl w:val="F8BCDF7E"/>
    <w:lvl w:ilvl="0" w:tplc="E7741278">
      <w:start w:val="1"/>
      <w:numFmt w:val="arabicAlpha"/>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7E463CA"/>
    <w:multiLevelType w:val="hybridMultilevel"/>
    <w:tmpl w:val="3802330E"/>
    <w:lvl w:ilvl="0" w:tplc="9004882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savePreviewPicture/>
  <w:compat>
    <w:useFELayout/>
  </w:compat>
  <w:rsids>
    <w:rsidRoot w:val="00A54E06"/>
    <w:rsid w:val="00A54E06"/>
    <w:rsid w:val="00B66E2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495</Words>
  <Characters>2828</Characters>
  <Application>Microsoft Office Word</Application>
  <DocSecurity>0</DocSecurity>
  <Lines>23</Lines>
  <Paragraphs>6</Paragraphs>
  <ScaleCrop>false</ScaleCrop>
  <Company>Hewlett-Packard</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AAAAA</dc:creator>
  <cp:keywords/>
  <dc:description/>
  <cp:lastModifiedBy>AAAAA</cp:lastModifiedBy>
  <cp:revision>2</cp:revision>
  <dcterms:created xsi:type="dcterms:W3CDTF">2017-12-11T02:55:00Z</dcterms:created>
  <dcterms:modified xsi:type="dcterms:W3CDTF">2017-12-11T02:56:00Z</dcterms:modified>
</cp:coreProperties>
</file>