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9B4" w:rsidRPr="004669B4" w:rsidRDefault="004669B4" w:rsidP="004669B4">
      <w:pPr>
        <w:rPr>
          <w:rFonts w:hint="cs"/>
          <w:b/>
          <w:bCs/>
          <w:sz w:val="32"/>
          <w:szCs w:val="32"/>
          <w:rtl/>
        </w:rPr>
      </w:pPr>
      <w:r w:rsidRPr="004669B4">
        <w:rPr>
          <w:rFonts w:hint="cs"/>
          <w:b/>
          <w:bCs/>
          <w:sz w:val="32"/>
          <w:szCs w:val="32"/>
          <w:rtl/>
        </w:rPr>
        <w:t>استعمالات وأغراض التقويم في المجال الرياضي:</w:t>
      </w:r>
    </w:p>
    <w:p w:rsidR="004669B4" w:rsidRPr="004669B4" w:rsidRDefault="004669B4" w:rsidP="004669B4">
      <w:pPr>
        <w:ind w:firstLine="720"/>
        <w:rPr>
          <w:rFonts w:hint="cs"/>
          <w:sz w:val="32"/>
          <w:szCs w:val="32"/>
          <w:rtl/>
        </w:rPr>
      </w:pPr>
      <w:r w:rsidRPr="004669B4">
        <w:rPr>
          <w:rFonts w:hint="cs"/>
          <w:sz w:val="32"/>
          <w:szCs w:val="32"/>
          <w:rtl/>
        </w:rPr>
        <w:t>لا جدال في أن يكون كل من (اللاعب، والمدرب، والمنهج التدريبي) الأعمدة الأساسية لبناء هيكل العملية التربوية- التدريبية (أو التعليمية بالنسبة للميدان المدرسي).</w:t>
      </w:r>
    </w:p>
    <w:p w:rsidR="004669B4" w:rsidRPr="004669B4" w:rsidRDefault="004669B4" w:rsidP="004669B4">
      <w:pPr>
        <w:ind w:firstLine="720"/>
        <w:rPr>
          <w:rFonts w:hint="cs"/>
          <w:sz w:val="32"/>
          <w:szCs w:val="32"/>
          <w:rtl/>
        </w:rPr>
      </w:pPr>
      <w:r w:rsidRPr="004669B4">
        <w:rPr>
          <w:rFonts w:hint="cs"/>
          <w:sz w:val="32"/>
          <w:szCs w:val="32"/>
          <w:rtl/>
        </w:rPr>
        <w:t>وإن كل عمود من هذه الأعمدة يؤثر في سائرها الآخرين حيث فقدان أو ضعف إحداها يخل في هذا الترابط ومتانته؛ ولتقويم الحالة الراهنة أو تحديد ما أمكن إحرازه من تقدم لكل من هذه الأعمدة عبر مراحل عملية التدريب والإعداد الرياضي، نجد أن وسائل التقويم (الاختبار والقياس) تعد جزءاً أساسياً في خطط تحسين المستوى الرياضي بأشكاله (البدني، والمهاري، والخططي، ولمعظم الألعاب الرياضية)، وذلك في ضوء أسس متعارف عليها، وضعت لتقويم الكفاءة البدنية العامة للرياضيين؛ حيث إن معرفة نقاط الضعف والقوة لدى اللاعب (الطالب أو الرياضي) أمر مهم بالنسبة للرياضي نفسه ومدربه حيث إن التقدم الحاصل وبمعدلات جيدة سيوضح صلاحية كل من اللاعب والمدرب والأساليب المنهجية المستعملة في التدريب، أي بمعنى (عن طريق استعمال أساليب الاختبار والقياس تتجمع البيانات وتحوّل إلى درجات ومستويات معيارية)، مما يسهل عملية التقويم، ومن خلالها تكتشف حقائق الحالة التي عليها كل من اللاعب والمدرب والمنهج التدريبي.</w:t>
      </w:r>
    </w:p>
    <w:p w:rsidR="004669B4" w:rsidRPr="004669B4" w:rsidRDefault="004669B4" w:rsidP="004669B4">
      <w:pPr>
        <w:ind w:firstLine="720"/>
        <w:rPr>
          <w:rFonts w:hint="cs"/>
          <w:sz w:val="32"/>
          <w:szCs w:val="32"/>
          <w:rtl/>
        </w:rPr>
      </w:pPr>
      <w:r w:rsidRPr="004669B4">
        <w:rPr>
          <w:rFonts w:hint="cs"/>
          <w:sz w:val="32"/>
          <w:szCs w:val="32"/>
          <w:rtl/>
        </w:rPr>
        <w:t>وقد ينحصر التقويم في معرفة الحقائق عن المتغيرات الآتية:</w:t>
      </w:r>
    </w:p>
    <w:p w:rsidR="004669B4" w:rsidRDefault="004669B4" w:rsidP="004669B4">
      <w:pPr>
        <w:ind w:firstLine="720"/>
        <w:rPr>
          <w:rFonts w:hint="cs"/>
          <w:sz w:val="32"/>
          <w:szCs w:val="32"/>
          <w:rtl/>
        </w:rPr>
      </w:pPr>
      <w:r w:rsidRPr="004669B4">
        <w:rPr>
          <w:rFonts w:hint="cs"/>
          <w:sz w:val="32"/>
          <w:szCs w:val="32"/>
          <w:rtl/>
        </w:rPr>
        <w:t>قياس التحصيل، والدافعية، والانتقاء، والتصنيف، والتقسيم، والتشخيص، والتوجيه والإرشاد، والتنبؤ، والبحث العلمي، ووضع وتقدير الدرجات، وتقويم البرنامج، وتقويم طرائق التدريس أو التدريب، وتقويم المدرس أو المدرب، وتقويم الطالب أو اللاعب.</w:t>
      </w:r>
    </w:p>
    <w:p w:rsidR="004669B4" w:rsidRDefault="004669B4" w:rsidP="004669B4">
      <w:pPr>
        <w:ind w:firstLine="720"/>
        <w:rPr>
          <w:rFonts w:hint="cs"/>
          <w:sz w:val="32"/>
          <w:szCs w:val="32"/>
          <w:rtl/>
        </w:rPr>
      </w:pPr>
    </w:p>
    <w:p w:rsidR="004669B4" w:rsidRDefault="004669B4" w:rsidP="004669B4">
      <w:pPr>
        <w:ind w:firstLine="720"/>
        <w:rPr>
          <w:rFonts w:hint="cs"/>
          <w:sz w:val="32"/>
          <w:szCs w:val="32"/>
          <w:rtl/>
        </w:rPr>
      </w:pPr>
    </w:p>
    <w:p w:rsidR="004669B4" w:rsidRDefault="004669B4" w:rsidP="004669B4">
      <w:pPr>
        <w:ind w:firstLine="720"/>
        <w:rPr>
          <w:rFonts w:hint="cs"/>
          <w:sz w:val="32"/>
          <w:szCs w:val="32"/>
          <w:rtl/>
        </w:rPr>
      </w:pPr>
    </w:p>
    <w:p w:rsidR="004669B4" w:rsidRDefault="004669B4" w:rsidP="004669B4">
      <w:pPr>
        <w:rPr>
          <w:rFonts w:hint="cs"/>
          <w:b/>
          <w:bCs/>
          <w:sz w:val="32"/>
          <w:szCs w:val="32"/>
          <w:rtl/>
        </w:rPr>
      </w:pPr>
    </w:p>
    <w:p w:rsidR="004669B4" w:rsidRPr="004669B4" w:rsidRDefault="004669B4" w:rsidP="004669B4">
      <w:pPr>
        <w:rPr>
          <w:rFonts w:hint="cs"/>
          <w:b/>
          <w:bCs/>
          <w:sz w:val="32"/>
          <w:szCs w:val="32"/>
          <w:rtl/>
        </w:rPr>
      </w:pPr>
      <w:r w:rsidRPr="004669B4">
        <w:rPr>
          <w:rFonts w:hint="cs"/>
          <w:b/>
          <w:bCs/>
          <w:sz w:val="32"/>
          <w:szCs w:val="32"/>
          <w:rtl/>
        </w:rPr>
        <w:lastRenderedPageBreak/>
        <w:t>الأبعاد الضرورية في التقويم:</w:t>
      </w:r>
    </w:p>
    <w:p w:rsidR="004669B4" w:rsidRPr="004669B4" w:rsidRDefault="004669B4" w:rsidP="004669B4">
      <w:pPr>
        <w:numPr>
          <w:ilvl w:val="0"/>
          <w:numId w:val="1"/>
        </w:numPr>
        <w:rPr>
          <w:rFonts w:hint="cs"/>
          <w:sz w:val="32"/>
          <w:szCs w:val="32"/>
        </w:rPr>
      </w:pPr>
      <w:r w:rsidRPr="004669B4">
        <w:rPr>
          <w:rFonts w:hint="cs"/>
          <w:sz w:val="32"/>
          <w:szCs w:val="32"/>
          <w:rtl/>
        </w:rPr>
        <w:t>الصفات السلوكية والأخلاقية : (روح العزم والتصميم والإرادة، والشجاعة، والأمانة، وروح الجماعة، واحترام المنافس).</w:t>
      </w:r>
    </w:p>
    <w:p w:rsidR="004669B4" w:rsidRPr="004669B4" w:rsidRDefault="004669B4" w:rsidP="004669B4">
      <w:pPr>
        <w:numPr>
          <w:ilvl w:val="0"/>
          <w:numId w:val="1"/>
        </w:numPr>
        <w:rPr>
          <w:rFonts w:hint="cs"/>
          <w:sz w:val="32"/>
          <w:szCs w:val="32"/>
        </w:rPr>
      </w:pPr>
      <w:r w:rsidRPr="004669B4">
        <w:rPr>
          <w:rFonts w:hint="cs"/>
          <w:sz w:val="32"/>
          <w:szCs w:val="32"/>
          <w:rtl/>
        </w:rPr>
        <w:t>القدرات العقلية: (الذكاء، وسرعة اتخاذ القرار السليم، والقدرة على التصرف في الظروف الحرجة، وتفهم أبعاد اللعبة).</w:t>
      </w:r>
    </w:p>
    <w:p w:rsidR="004669B4" w:rsidRPr="004669B4" w:rsidRDefault="004669B4" w:rsidP="004669B4">
      <w:pPr>
        <w:numPr>
          <w:ilvl w:val="0"/>
          <w:numId w:val="1"/>
        </w:numPr>
        <w:rPr>
          <w:rFonts w:hint="cs"/>
          <w:sz w:val="32"/>
          <w:szCs w:val="32"/>
        </w:rPr>
      </w:pPr>
      <w:r w:rsidRPr="004669B4">
        <w:rPr>
          <w:rFonts w:hint="cs"/>
          <w:sz w:val="32"/>
          <w:szCs w:val="32"/>
          <w:rtl/>
        </w:rPr>
        <w:t>القياسات الجسمية: (الطول، والوزن، والأعراض، والمحيطات، ونسبة سمك الدهن).</w:t>
      </w:r>
    </w:p>
    <w:p w:rsidR="004669B4" w:rsidRPr="004669B4" w:rsidRDefault="004669B4" w:rsidP="004669B4">
      <w:pPr>
        <w:numPr>
          <w:ilvl w:val="0"/>
          <w:numId w:val="1"/>
        </w:numPr>
        <w:rPr>
          <w:rFonts w:hint="cs"/>
          <w:sz w:val="32"/>
          <w:szCs w:val="32"/>
        </w:rPr>
      </w:pPr>
      <w:r w:rsidRPr="004669B4">
        <w:rPr>
          <w:rFonts w:hint="cs"/>
          <w:sz w:val="32"/>
          <w:szCs w:val="32"/>
          <w:rtl/>
        </w:rPr>
        <w:t>مكونات اللياقة البدنية والحركية: (الصفات البدنية المتخصصة في لعبة رياضية معينة، مثل: القوة، والسرعة، والمطاولة، والمرونة، والرشاقة، ومكوناتها من مطاولة السرعة، والقوة المميزة بالسرعة، ومطاولة القوة... الخ).</w:t>
      </w:r>
    </w:p>
    <w:p w:rsidR="004669B4" w:rsidRPr="004669B4" w:rsidRDefault="004669B4" w:rsidP="004669B4">
      <w:pPr>
        <w:numPr>
          <w:ilvl w:val="0"/>
          <w:numId w:val="1"/>
        </w:numPr>
        <w:rPr>
          <w:rFonts w:hint="cs"/>
          <w:sz w:val="32"/>
          <w:szCs w:val="32"/>
        </w:rPr>
      </w:pPr>
      <w:r w:rsidRPr="004669B4">
        <w:rPr>
          <w:rFonts w:hint="cs"/>
          <w:sz w:val="32"/>
          <w:szCs w:val="32"/>
          <w:rtl/>
        </w:rPr>
        <w:t>القدرات المهارية والخططية ذات العلاقة باللعبة.</w:t>
      </w:r>
    </w:p>
    <w:p w:rsidR="004669B4" w:rsidRPr="004669B4" w:rsidRDefault="004669B4" w:rsidP="004669B4">
      <w:pPr>
        <w:ind w:firstLine="720"/>
        <w:rPr>
          <w:rFonts w:hint="cs"/>
          <w:sz w:val="32"/>
          <w:szCs w:val="32"/>
          <w:rtl/>
        </w:rPr>
      </w:pPr>
      <w:r w:rsidRPr="004669B4">
        <w:rPr>
          <w:rFonts w:hint="cs"/>
          <w:sz w:val="32"/>
          <w:szCs w:val="32"/>
          <w:rtl/>
        </w:rPr>
        <w:t>وأخيراً وبعد أن أشرنا فيما سبق إلى أنواع التقويم، لا بد هنا من أن نشير إلى الفرق بين التقويم الذاتي (التقويم غير الموضوعي) و(التقويم الموضوعي أو العلمي).</w:t>
      </w:r>
    </w:p>
    <w:tbl>
      <w:tblPr>
        <w:bidiVisual/>
        <w:tblW w:w="11483" w:type="dxa"/>
        <w:tblInd w:w="-1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4"/>
        <w:gridCol w:w="7089"/>
      </w:tblGrid>
      <w:tr w:rsidR="004669B4" w:rsidRPr="004669B4" w:rsidTr="004669B4">
        <w:tc>
          <w:tcPr>
            <w:tcW w:w="4394" w:type="dxa"/>
          </w:tcPr>
          <w:p w:rsidR="004669B4" w:rsidRPr="004669B4" w:rsidRDefault="004669B4" w:rsidP="00E929C2">
            <w:pPr>
              <w:jc w:val="center"/>
              <w:rPr>
                <w:rFonts w:hint="cs"/>
                <w:b/>
                <w:bCs/>
                <w:sz w:val="32"/>
                <w:szCs w:val="32"/>
                <w:rtl/>
              </w:rPr>
            </w:pPr>
            <w:r w:rsidRPr="004669B4">
              <w:rPr>
                <w:rFonts w:hint="cs"/>
                <w:b/>
                <w:bCs/>
                <w:sz w:val="32"/>
                <w:szCs w:val="32"/>
                <w:rtl/>
              </w:rPr>
              <w:t>التقويم الموضوعي</w:t>
            </w:r>
          </w:p>
        </w:tc>
        <w:tc>
          <w:tcPr>
            <w:tcW w:w="7089" w:type="dxa"/>
          </w:tcPr>
          <w:p w:rsidR="004669B4" w:rsidRPr="004669B4" w:rsidRDefault="004669B4" w:rsidP="00E929C2">
            <w:pPr>
              <w:jc w:val="center"/>
              <w:rPr>
                <w:rFonts w:hint="cs"/>
                <w:b/>
                <w:bCs/>
                <w:sz w:val="32"/>
                <w:szCs w:val="32"/>
                <w:rtl/>
              </w:rPr>
            </w:pPr>
            <w:r w:rsidRPr="004669B4">
              <w:rPr>
                <w:rFonts w:hint="cs"/>
                <w:b/>
                <w:bCs/>
                <w:sz w:val="32"/>
                <w:szCs w:val="32"/>
                <w:rtl/>
              </w:rPr>
              <w:t>التقويم غير الموضوعي</w:t>
            </w:r>
          </w:p>
        </w:tc>
      </w:tr>
      <w:tr w:rsidR="004669B4" w:rsidRPr="004669B4" w:rsidTr="004669B4">
        <w:tc>
          <w:tcPr>
            <w:tcW w:w="4394" w:type="dxa"/>
          </w:tcPr>
          <w:p w:rsidR="004669B4" w:rsidRPr="004669B4" w:rsidRDefault="004669B4" w:rsidP="004669B4">
            <w:pPr>
              <w:numPr>
                <w:ilvl w:val="0"/>
                <w:numId w:val="2"/>
              </w:numPr>
              <w:ind w:left="368"/>
              <w:rPr>
                <w:rFonts w:hint="cs"/>
                <w:sz w:val="32"/>
                <w:szCs w:val="32"/>
                <w:rtl/>
              </w:rPr>
            </w:pPr>
            <w:r w:rsidRPr="004669B4">
              <w:rPr>
                <w:rFonts w:hint="cs"/>
                <w:sz w:val="32"/>
                <w:szCs w:val="32"/>
                <w:rtl/>
              </w:rPr>
              <w:t>الملاحظات دقيقة.</w:t>
            </w:r>
          </w:p>
        </w:tc>
        <w:tc>
          <w:tcPr>
            <w:tcW w:w="7089" w:type="dxa"/>
          </w:tcPr>
          <w:p w:rsidR="004669B4" w:rsidRPr="004669B4" w:rsidRDefault="004669B4" w:rsidP="004669B4">
            <w:pPr>
              <w:numPr>
                <w:ilvl w:val="0"/>
                <w:numId w:val="3"/>
              </w:numPr>
              <w:ind w:left="360"/>
              <w:rPr>
                <w:rFonts w:hint="cs"/>
                <w:sz w:val="32"/>
                <w:szCs w:val="32"/>
                <w:rtl/>
              </w:rPr>
            </w:pPr>
            <w:r w:rsidRPr="004669B4">
              <w:rPr>
                <w:rFonts w:hint="cs"/>
                <w:sz w:val="32"/>
                <w:szCs w:val="32"/>
                <w:rtl/>
              </w:rPr>
              <w:t>الملاحظات غير دقيقة.</w:t>
            </w:r>
          </w:p>
        </w:tc>
      </w:tr>
      <w:tr w:rsidR="004669B4" w:rsidRPr="004669B4" w:rsidTr="004669B4">
        <w:tc>
          <w:tcPr>
            <w:tcW w:w="4394" w:type="dxa"/>
          </w:tcPr>
          <w:p w:rsidR="004669B4" w:rsidRPr="004669B4" w:rsidRDefault="004669B4" w:rsidP="004669B4">
            <w:pPr>
              <w:numPr>
                <w:ilvl w:val="0"/>
                <w:numId w:val="2"/>
              </w:numPr>
              <w:ind w:left="368"/>
              <w:rPr>
                <w:rFonts w:hint="cs"/>
                <w:sz w:val="32"/>
                <w:szCs w:val="32"/>
                <w:rtl/>
              </w:rPr>
            </w:pPr>
            <w:r w:rsidRPr="004669B4">
              <w:rPr>
                <w:rFonts w:hint="cs"/>
                <w:sz w:val="32"/>
                <w:szCs w:val="32"/>
                <w:rtl/>
              </w:rPr>
              <w:t>معلومات ثابتة وصادقة.</w:t>
            </w:r>
          </w:p>
        </w:tc>
        <w:tc>
          <w:tcPr>
            <w:tcW w:w="7089" w:type="dxa"/>
          </w:tcPr>
          <w:p w:rsidR="004669B4" w:rsidRPr="004669B4" w:rsidRDefault="004669B4" w:rsidP="004669B4">
            <w:pPr>
              <w:numPr>
                <w:ilvl w:val="0"/>
                <w:numId w:val="3"/>
              </w:numPr>
              <w:ind w:left="360"/>
              <w:rPr>
                <w:rFonts w:hint="cs"/>
                <w:sz w:val="32"/>
                <w:szCs w:val="32"/>
                <w:rtl/>
              </w:rPr>
            </w:pPr>
            <w:r w:rsidRPr="004669B4">
              <w:rPr>
                <w:rFonts w:hint="cs"/>
                <w:sz w:val="32"/>
                <w:szCs w:val="32"/>
                <w:rtl/>
              </w:rPr>
              <w:t>المعلومات تعتمد على التخمين والحدس والتكهن.</w:t>
            </w:r>
          </w:p>
        </w:tc>
      </w:tr>
      <w:tr w:rsidR="004669B4" w:rsidRPr="004669B4" w:rsidTr="004669B4">
        <w:tc>
          <w:tcPr>
            <w:tcW w:w="4394" w:type="dxa"/>
          </w:tcPr>
          <w:p w:rsidR="004669B4" w:rsidRPr="004669B4" w:rsidRDefault="004669B4" w:rsidP="004669B4">
            <w:pPr>
              <w:numPr>
                <w:ilvl w:val="0"/>
                <w:numId w:val="2"/>
              </w:numPr>
              <w:ind w:left="368"/>
              <w:rPr>
                <w:rFonts w:hint="cs"/>
                <w:sz w:val="32"/>
                <w:szCs w:val="32"/>
                <w:rtl/>
              </w:rPr>
            </w:pPr>
            <w:r w:rsidRPr="004669B4">
              <w:rPr>
                <w:rFonts w:hint="cs"/>
                <w:sz w:val="32"/>
                <w:szCs w:val="32"/>
                <w:rtl/>
              </w:rPr>
              <w:t>آراء مخصصة.</w:t>
            </w:r>
          </w:p>
        </w:tc>
        <w:tc>
          <w:tcPr>
            <w:tcW w:w="7089" w:type="dxa"/>
          </w:tcPr>
          <w:p w:rsidR="004669B4" w:rsidRPr="004669B4" w:rsidRDefault="004669B4" w:rsidP="004669B4">
            <w:pPr>
              <w:numPr>
                <w:ilvl w:val="0"/>
                <w:numId w:val="3"/>
              </w:numPr>
              <w:ind w:left="360"/>
              <w:rPr>
                <w:rFonts w:hint="cs"/>
                <w:sz w:val="32"/>
                <w:szCs w:val="32"/>
                <w:rtl/>
              </w:rPr>
            </w:pPr>
            <w:r w:rsidRPr="004669B4">
              <w:rPr>
                <w:rFonts w:hint="cs"/>
                <w:sz w:val="32"/>
                <w:szCs w:val="32"/>
                <w:rtl/>
              </w:rPr>
              <w:t>رأي عام.</w:t>
            </w:r>
          </w:p>
        </w:tc>
      </w:tr>
      <w:tr w:rsidR="004669B4" w:rsidRPr="004669B4" w:rsidTr="004669B4">
        <w:tc>
          <w:tcPr>
            <w:tcW w:w="4394" w:type="dxa"/>
          </w:tcPr>
          <w:p w:rsidR="004669B4" w:rsidRPr="004669B4" w:rsidRDefault="004669B4" w:rsidP="004669B4">
            <w:pPr>
              <w:numPr>
                <w:ilvl w:val="0"/>
                <w:numId w:val="2"/>
              </w:numPr>
              <w:ind w:left="368"/>
              <w:rPr>
                <w:rFonts w:hint="cs"/>
                <w:sz w:val="32"/>
                <w:szCs w:val="32"/>
                <w:rtl/>
              </w:rPr>
            </w:pPr>
            <w:r w:rsidRPr="004669B4">
              <w:rPr>
                <w:rFonts w:hint="cs"/>
                <w:sz w:val="32"/>
                <w:szCs w:val="32"/>
                <w:rtl/>
              </w:rPr>
              <w:t>الحياد.</w:t>
            </w:r>
          </w:p>
        </w:tc>
        <w:tc>
          <w:tcPr>
            <w:tcW w:w="7089" w:type="dxa"/>
          </w:tcPr>
          <w:p w:rsidR="004669B4" w:rsidRPr="004669B4" w:rsidRDefault="004669B4" w:rsidP="004669B4">
            <w:pPr>
              <w:numPr>
                <w:ilvl w:val="0"/>
                <w:numId w:val="3"/>
              </w:numPr>
              <w:ind w:left="360"/>
              <w:rPr>
                <w:rFonts w:hint="cs"/>
                <w:sz w:val="32"/>
                <w:szCs w:val="32"/>
                <w:rtl/>
              </w:rPr>
            </w:pPr>
            <w:r w:rsidRPr="004669B4">
              <w:rPr>
                <w:rFonts w:hint="cs"/>
                <w:sz w:val="32"/>
                <w:szCs w:val="32"/>
                <w:rtl/>
              </w:rPr>
              <w:t>التحيز.</w:t>
            </w:r>
          </w:p>
        </w:tc>
      </w:tr>
      <w:tr w:rsidR="004669B4" w:rsidRPr="004669B4" w:rsidTr="004669B4">
        <w:tc>
          <w:tcPr>
            <w:tcW w:w="4394" w:type="dxa"/>
          </w:tcPr>
          <w:p w:rsidR="004669B4" w:rsidRPr="004669B4" w:rsidRDefault="004669B4" w:rsidP="004669B4">
            <w:pPr>
              <w:numPr>
                <w:ilvl w:val="0"/>
                <w:numId w:val="2"/>
              </w:numPr>
              <w:ind w:left="368"/>
              <w:rPr>
                <w:rFonts w:hint="cs"/>
                <w:sz w:val="32"/>
                <w:szCs w:val="32"/>
                <w:rtl/>
              </w:rPr>
            </w:pPr>
            <w:r w:rsidRPr="004669B4">
              <w:rPr>
                <w:rFonts w:hint="cs"/>
                <w:sz w:val="32"/>
                <w:szCs w:val="32"/>
                <w:rtl/>
              </w:rPr>
              <w:t>ناتج عن التراث الفكري والمهاري.</w:t>
            </w:r>
          </w:p>
        </w:tc>
        <w:tc>
          <w:tcPr>
            <w:tcW w:w="7089" w:type="dxa"/>
          </w:tcPr>
          <w:p w:rsidR="004669B4" w:rsidRPr="004669B4" w:rsidRDefault="004669B4" w:rsidP="004669B4">
            <w:pPr>
              <w:numPr>
                <w:ilvl w:val="0"/>
                <w:numId w:val="3"/>
              </w:numPr>
              <w:ind w:left="360"/>
              <w:rPr>
                <w:rFonts w:hint="cs"/>
                <w:sz w:val="32"/>
                <w:szCs w:val="32"/>
                <w:rtl/>
              </w:rPr>
            </w:pPr>
            <w:r w:rsidRPr="004669B4">
              <w:rPr>
                <w:rFonts w:hint="cs"/>
                <w:sz w:val="32"/>
                <w:szCs w:val="32"/>
                <w:rtl/>
              </w:rPr>
              <w:t>صادر عن جهل أو معلومات خاطئة.</w:t>
            </w:r>
          </w:p>
        </w:tc>
      </w:tr>
      <w:tr w:rsidR="004669B4" w:rsidRPr="004669B4" w:rsidTr="004669B4">
        <w:tc>
          <w:tcPr>
            <w:tcW w:w="4394" w:type="dxa"/>
          </w:tcPr>
          <w:p w:rsidR="004669B4" w:rsidRPr="004669B4" w:rsidRDefault="004669B4" w:rsidP="004669B4">
            <w:pPr>
              <w:numPr>
                <w:ilvl w:val="0"/>
                <w:numId w:val="2"/>
              </w:numPr>
              <w:ind w:left="368"/>
              <w:rPr>
                <w:rFonts w:hint="cs"/>
                <w:sz w:val="32"/>
                <w:szCs w:val="32"/>
                <w:rtl/>
              </w:rPr>
            </w:pPr>
            <w:r w:rsidRPr="004669B4">
              <w:rPr>
                <w:rFonts w:hint="cs"/>
                <w:sz w:val="32"/>
                <w:szCs w:val="32"/>
                <w:rtl/>
              </w:rPr>
              <w:t>استعمال الأدوات الدقيقة.</w:t>
            </w:r>
          </w:p>
        </w:tc>
        <w:tc>
          <w:tcPr>
            <w:tcW w:w="7089" w:type="dxa"/>
          </w:tcPr>
          <w:p w:rsidR="004669B4" w:rsidRPr="004669B4" w:rsidRDefault="004669B4" w:rsidP="004669B4">
            <w:pPr>
              <w:numPr>
                <w:ilvl w:val="0"/>
                <w:numId w:val="3"/>
              </w:numPr>
              <w:ind w:left="360"/>
              <w:rPr>
                <w:rFonts w:hint="cs"/>
                <w:sz w:val="32"/>
                <w:szCs w:val="32"/>
                <w:rtl/>
              </w:rPr>
            </w:pPr>
            <w:r w:rsidRPr="004669B4">
              <w:rPr>
                <w:rFonts w:hint="cs"/>
                <w:sz w:val="32"/>
                <w:szCs w:val="32"/>
                <w:rtl/>
              </w:rPr>
              <w:t>استعمال أدوات غير دقيقة.</w:t>
            </w:r>
          </w:p>
        </w:tc>
      </w:tr>
      <w:tr w:rsidR="004669B4" w:rsidRPr="004669B4" w:rsidTr="004669B4">
        <w:tc>
          <w:tcPr>
            <w:tcW w:w="4394" w:type="dxa"/>
          </w:tcPr>
          <w:p w:rsidR="004669B4" w:rsidRPr="004669B4" w:rsidRDefault="004669B4" w:rsidP="004669B4">
            <w:pPr>
              <w:numPr>
                <w:ilvl w:val="0"/>
                <w:numId w:val="2"/>
              </w:numPr>
              <w:ind w:left="368"/>
              <w:rPr>
                <w:rFonts w:hint="cs"/>
                <w:sz w:val="32"/>
                <w:szCs w:val="32"/>
                <w:rtl/>
              </w:rPr>
            </w:pPr>
            <w:r w:rsidRPr="004669B4">
              <w:rPr>
                <w:rFonts w:hint="cs"/>
                <w:sz w:val="32"/>
                <w:szCs w:val="32"/>
                <w:rtl/>
              </w:rPr>
              <w:t>رأي محدود وخاص.</w:t>
            </w:r>
          </w:p>
        </w:tc>
        <w:tc>
          <w:tcPr>
            <w:tcW w:w="7089" w:type="dxa"/>
          </w:tcPr>
          <w:p w:rsidR="004669B4" w:rsidRPr="004669B4" w:rsidRDefault="004669B4" w:rsidP="004669B4">
            <w:pPr>
              <w:numPr>
                <w:ilvl w:val="0"/>
                <w:numId w:val="3"/>
              </w:numPr>
              <w:ind w:left="360"/>
              <w:rPr>
                <w:rFonts w:hint="cs"/>
                <w:sz w:val="32"/>
                <w:szCs w:val="32"/>
                <w:rtl/>
              </w:rPr>
            </w:pPr>
            <w:r w:rsidRPr="004669B4">
              <w:rPr>
                <w:rFonts w:hint="cs"/>
                <w:sz w:val="32"/>
                <w:szCs w:val="32"/>
                <w:rtl/>
              </w:rPr>
              <w:t>آراء مطلقة وعامة.</w:t>
            </w:r>
          </w:p>
        </w:tc>
      </w:tr>
      <w:tr w:rsidR="004669B4" w:rsidRPr="004669B4" w:rsidTr="004669B4">
        <w:trPr>
          <w:trHeight w:val="1172"/>
        </w:trPr>
        <w:tc>
          <w:tcPr>
            <w:tcW w:w="4394" w:type="dxa"/>
          </w:tcPr>
          <w:p w:rsidR="004669B4" w:rsidRPr="004669B4" w:rsidRDefault="004669B4" w:rsidP="00E929C2">
            <w:pPr>
              <w:rPr>
                <w:rFonts w:hint="cs"/>
                <w:sz w:val="32"/>
                <w:szCs w:val="32"/>
                <w:rtl/>
              </w:rPr>
            </w:pPr>
          </w:p>
        </w:tc>
        <w:tc>
          <w:tcPr>
            <w:tcW w:w="7089" w:type="dxa"/>
          </w:tcPr>
          <w:p w:rsidR="004669B4" w:rsidRPr="004669B4" w:rsidRDefault="004669B4" w:rsidP="004669B4">
            <w:pPr>
              <w:rPr>
                <w:rFonts w:hint="cs"/>
                <w:sz w:val="32"/>
                <w:szCs w:val="32"/>
              </w:rPr>
            </w:pPr>
            <w:r w:rsidRPr="004669B4">
              <w:rPr>
                <w:rFonts w:hint="cs"/>
                <w:sz w:val="32"/>
                <w:szCs w:val="32"/>
                <w:rtl/>
              </w:rPr>
              <w:t>يزاد على ذلك أن التقويم غير الموضوعي يتّصف كذلك بـ:قراءة سريعة.لا يعتمد على الفحص الدقيق.</w:t>
            </w:r>
          </w:p>
          <w:p w:rsidR="004669B4" w:rsidRPr="004669B4" w:rsidRDefault="004669B4" w:rsidP="004669B4">
            <w:pPr>
              <w:numPr>
                <w:ilvl w:val="0"/>
                <w:numId w:val="4"/>
              </w:numPr>
              <w:rPr>
                <w:rFonts w:hint="cs"/>
                <w:sz w:val="32"/>
                <w:szCs w:val="32"/>
                <w:rtl/>
              </w:rPr>
            </w:pPr>
            <w:r w:rsidRPr="004669B4">
              <w:rPr>
                <w:rFonts w:hint="cs"/>
                <w:sz w:val="32"/>
                <w:szCs w:val="32"/>
                <w:rtl/>
              </w:rPr>
              <w:t>لا يعتمد على القوانين الإحصائية.</w:t>
            </w:r>
          </w:p>
        </w:tc>
      </w:tr>
    </w:tbl>
    <w:p w:rsidR="004669B4" w:rsidRPr="004669B4" w:rsidRDefault="004669B4" w:rsidP="004669B4">
      <w:pPr>
        <w:rPr>
          <w:rFonts w:hint="cs"/>
          <w:sz w:val="32"/>
          <w:szCs w:val="32"/>
        </w:rPr>
      </w:pPr>
    </w:p>
    <w:p w:rsidR="004669B4" w:rsidRPr="004669B4" w:rsidRDefault="004669B4">
      <w:pPr>
        <w:rPr>
          <w:sz w:val="32"/>
          <w:szCs w:val="32"/>
        </w:rPr>
      </w:pPr>
    </w:p>
    <w:sectPr w:rsidR="004669B4" w:rsidRPr="004669B4" w:rsidSect="00391A2A">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3F7A" w:rsidRDefault="00043F7A" w:rsidP="004669B4">
      <w:r>
        <w:separator/>
      </w:r>
    </w:p>
  </w:endnote>
  <w:endnote w:type="continuationSeparator" w:id="1">
    <w:p w:rsidR="00043F7A" w:rsidRDefault="00043F7A" w:rsidP="004669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8F9" w:rsidRPr="004669B4" w:rsidRDefault="004669B4" w:rsidP="004669B4">
    <w:pPr>
      <w:pStyle w:val="a3"/>
      <w:jc w:val="center"/>
      <w:rPr>
        <w:rtl/>
        <w:lang w:bidi="ar-IQ"/>
      </w:rPr>
    </w:pPr>
    <w:r>
      <w:rPr>
        <w:rFonts w:hint="cs"/>
        <w:rtl/>
        <w:lang w:bidi="ar-IQ"/>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3F7A" w:rsidRDefault="00043F7A" w:rsidP="004669B4">
      <w:r>
        <w:separator/>
      </w:r>
    </w:p>
  </w:footnote>
  <w:footnote w:type="continuationSeparator" w:id="1">
    <w:p w:rsidR="00043F7A" w:rsidRDefault="00043F7A" w:rsidP="004669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2F83"/>
    <w:multiLevelType w:val="hybridMultilevel"/>
    <w:tmpl w:val="A2CE6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DE4433"/>
    <w:multiLevelType w:val="hybridMultilevel"/>
    <w:tmpl w:val="A2CE6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DE25A2"/>
    <w:multiLevelType w:val="hybridMultilevel"/>
    <w:tmpl w:val="10804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E03A13"/>
    <w:multiLevelType w:val="hybridMultilevel"/>
    <w:tmpl w:val="4C6ADDAA"/>
    <w:lvl w:ilvl="0" w:tplc="D474E8F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4669B4"/>
    <w:rsid w:val="00043F7A"/>
    <w:rsid w:val="004669B4"/>
    <w:rsid w:val="006B5FE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9B4"/>
    <w:pPr>
      <w:bidi/>
      <w:spacing w:after="0" w:line="240" w:lineRule="auto"/>
      <w:jc w:val="lowKashida"/>
    </w:pPr>
    <w:rPr>
      <w:rFonts w:ascii="Times New Roman" w:eastAsia="Calibri" w:hAnsi="Times New Roman" w:cs="Simplified Arabic"/>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669B4"/>
    <w:pPr>
      <w:tabs>
        <w:tab w:val="center" w:pos="4153"/>
        <w:tab w:val="right" w:pos="8306"/>
      </w:tabs>
    </w:pPr>
  </w:style>
  <w:style w:type="character" w:customStyle="1" w:styleId="Char">
    <w:name w:val="تذييل صفحة Char"/>
    <w:basedOn w:val="a0"/>
    <w:link w:val="a3"/>
    <w:uiPriority w:val="99"/>
    <w:rsid w:val="004669B4"/>
    <w:rPr>
      <w:rFonts w:ascii="Times New Roman" w:eastAsia="Calibri" w:hAnsi="Times New Roman" w:cs="Simplified Arabic"/>
      <w:sz w:val="28"/>
      <w:szCs w:val="28"/>
    </w:rPr>
  </w:style>
  <w:style w:type="paragraph" w:styleId="a4">
    <w:name w:val="header"/>
    <w:basedOn w:val="a"/>
    <w:link w:val="Char0"/>
    <w:uiPriority w:val="99"/>
    <w:semiHidden/>
    <w:unhideWhenUsed/>
    <w:rsid w:val="004669B4"/>
    <w:pPr>
      <w:tabs>
        <w:tab w:val="center" w:pos="4153"/>
        <w:tab w:val="right" w:pos="8306"/>
      </w:tabs>
    </w:pPr>
  </w:style>
  <w:style w:type="character" w:customStyle="1" w:styleId="Char0">
    <w:name w:val="رأس صفحة Char"/>
    <w:basedOn w:val="a0"/>
    <w:link w:val="a4"/>
    <w:uiPriority w:val="99"/>
    <w:semiHidden/>
    <w:rsid w:val="004669B4"/>
    <w:rPr>
      <w:rFonts w:ascii="Times New Roman" w:eastAsia="Calibri" w:hAnsi="Times New Roman" w:cs="Simplified Arabic"/>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E4C9F-EB0E-465C-99D2-8EB3C2711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378</Words>
  <Characters>2161</Characters>
  <Application>Microsoft Office Word</Application>
  <DocSecurity>0</DocSecurity>
  <Lines>18</Lines>
  <Paragraphs>5</Paragraphs>
  <ScaleCrop>false</ScaleCrop>
  <Company/>
  <LinksUpToDate>false</LinksUpToDate>
  <CharactersWithSpaces>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moon</dc:creator>
  <cp:keywords/>
  <dc:description/>
  <cp:lastModifiedBy>moon</cp:lastModifiedBy>
  <cp:revision>1</cp:revision>
  <dcterms:created xsi:type="dcterms:W3CDTF">2012-02-02T06:40:00Z</dcterms:created>
  <dcterms:modified xsi:type="dcterms:W3CDTF">2012-02-02T06:45:00Z</dcterms:modified>
</cp:coreProperties>
</file>