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61" w:rsidRDefault="006541D3" w:rsidP="006541D3">
      <w:pPr>
        <w:bidi w:val="0"/>
        <w:rPr>
          <w:lang w:bidi="ar-IQ"/>
        </w:rPr>
      </w:pPr>
      <w:r>
        <w:rPr>
          <w:lang w:bidi="ar-IQ"/>
        </w:rPr>
        <w:t>Lecture # 3</w:t>
      </w:r>
    </w:p>
    <w:p w:rsidR="006541D3" w:rsidRDefault="006541D3" w:rsidP="006541D3">
      <w:pPr>
        <w:bidi w:val="0"/>
        <w:rPr>
          <w:lang w:bidi="ar-IQ"/>
        </w:rPr>
      </w:pPr>
      <w:r>
        <w:rPr>
          <w:rFonts w:ascii="Helvetica-Bold" w:cs="Helvetica-Bold"/>
          <w:b/>
          <w:bCs/>
          <w:sz w:val="24"/>
          <w:szCs w:val="24"/>
        </w:rPr>
        <w:t>DRUG CLEARANCE THROUGH METABOLISM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cs="Helvetica-Bold"/>
          <w:b/>
          <w:bCs/>
          <w:color w:val="000000"/>
          <w:sz w:val="20"/>
          <w:szCs w:val="20"/>
        </w:rPr>
        <w:t>Kinetics of metabolism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-Bold" w:cs="Helvetica-Bold"/>
          <w:b/>
          <w:bCs/>
          <w:color w:val="000000"/>
          <w:sz w:val="20"/>
          <w:szCs w:val="20"/>
        </w:rPr>
        <w:t>1. First-order kinetics</w:t>
      </w:r>
      <w:r>
        <w:rPr>
          <w:rFonts w:ascii="Helvetica-Bold" w:cs="Helvetica-Bold"/>
          <w:b/>
          <w:bCs/>
          <w:color w:val="000000"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cs="Helvetica-Bold"/>
          <w:b/>
          <w:bCs/>
          <w:color w:val="000000"/>
          <w:sz w:val="20"/>
          <w:szCs w:val="20"/>
        </w:rPr>
        <w:t>2. Zero-order kinetics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color w:val="000000"/>
          <w:sz w:val="20"/>
          <w:szCs w:val="20"/>
        </w:rPr>
      </w:pP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-Bold" w:cs="Helvetica-Bold"/>
          <w:b/>
          <w:bCs/>
          <w:color w:val="000000"/>
          <w:sz w:val="20"/>
          <w:szCs w:val="20"/>
        </w:rPr>
        <w:t xml:space="preserve"> Reactions of drug metabolism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Phase I</w:t>
      </w:r>
      <w:r>
        <w:rPr>
          <w:rFonts w:ascii="Helvetica-Bold" w:cs="Helvetica-Bold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.</w:t>
      </w:r>
    </w:p>
    <w:p w:rsidR="006541D3" w:rsidRP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ind w:left="426"/>
        <w:rPr>
          <w:rFonts w:ascii="Helvetica" w:hAnsi="Helvetica" w:cs="Helvetica"/>
          <w:sz w:val="20"/>
          <w:szCs w:val="20"/>
        </w:rPr>
      </w:pPr>
      <w:r w:rsidRPr="006541D3">
        <w:rPr>
          <w:rFonts w:ascii="Helvetica-Bold" w:cs="Helvetica-Bold"/>
          <w:b/>
          <w:bCs/>
          <w:sz w:val="20"/>
          <w:szCs w:val="20"/>
        </w:rPr>
        <w:t>Phase I reactions utilizing the P450 system</w:t>
      </w:r>
    </w:p>
    <w:p w:rsidR="006541D3" w:rsidRP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ind w:left="426"/>
        <w:rPr>
          <w:rFonts w:ascii="Helvetica" w:hAnsi="Helvetica" w:cs="Helvetica"/>
          <w:sz w:val="20"/>
          <w:szCs w:val="20"/>
        </w:rPr>
      </w:pPr>
      <w:r w:rsidRPr="006541D3">
        <w:rPr>
          <w:rFonts w:ascii="Helvetica-Bold" w:cs="Helvetica-Bold"/>
          <w:b/>
          <w:bCs/>
          <w:sz w:val="20"/>
          <w:szCs w:val="20"/>
        </w:rPr>
        <w:t>Nomenclature</w:t>
      </w:r>
      <w:r w:rsidRPr="006541D3">
        <w:rPr>
          <w:rFonts w:ascii="Helvetica-Bold" w:cs="Helvetica-Bold"/>
          <w:b/>
          <w:bCs/>
          <w:sz w:val="20"/>
          <w:szCs w:val="20"/>
        </w:rPr>
        <w:t xml:space="preserve"> </w:t>
      </w:r>
      <w:r w:rsidRPr="006541D3">
        <w:rPr>
          <w:rFonts w:ascii="Helvetica-Bold" w:cs="Helvetica-Bold"/>
          <w:b/>
          <w:bCs/>
          <w:sz w:val="20"/>
          <w:szCs w:val="20"/>
        </w:rPr>
        <w:t xml:space="preserve"> </w:t>
      </w:r>
      <w:r w:rsidRPr="006541D3">
        <w:rPr>
          <w:rFonts w:ascii="Helvetica" w:hAnsi="Helvetica" w:cs="Helvetica"/>
          <w:sz w:val="20"/>
          <w:szCs w:val="20"/>
        </w:rPr>
        <w:t xml:space="preserve"> </w:t>
      </w:r>
      <w:r w:rsidRPr="006541D3">
        <w:rPr>
          <w:rFonts w:ascii="Helvetica" w:hAnsi="Helvetica" w:cs="Helvetica"/>
          <w:sz w:val="20"/>
          <w:szCs w:val="20"/>
        </w:rPr>
        <w:t>.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Specificity</w:t>
      </w:r>
    </w:p>
    <w:p w:rsidR="006541D3" w:rsidRDefault="006541D3" w:rsidP="006541D3">
      <w:pPr>
        <w:bidi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-Bold" w:cs="Helvetica-Bold"/>
          <w:b/>
          <w:bCs/>
          <w:sz w:val="20"/>
          <w:szCs w:val="20"/>
        </w:rPr>
        <w:t>Genetic variability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Inducers: 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 Inhibitors: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Phase I reactions not involving the P450 system</w:t>
      </w:r>
      <w:r>
        <w:rPr>
          <w:rFonts w:ascii="Helvetica-Bold" w:cs="Helvetica-Bold"/>
          <w:b/>
          <w:bCs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2. Phase II</w:t>
      </w:r>
      <w:r>
        <w:rPr>
          <w:rFonts w:ascii="Helvetica-Bold" w:cs="Helvetica-Bold"/>
          <w:b/>
          <w:bCs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4"/>
          <w:szCs w:val="24"/>
        </w:rPr>
        <w:t>DRUG CLEARANCE BY THE KIDNEY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6541D3" w:rsidRDefault="006541D3" w:rsidP="006541D3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Renal elimination of a drug</w:t>
      </w:r>
    </w:p>
    <w:p w:rsidR="006541D3" w:rsidRDefault="006541D3" w:rsidP="006541D3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  <w:r w:rsidRPr="006541D3">
        <w:rPr>
          <w:rFonts w:ascii="Helvetica-Bold" w:cs="Helvetica-Bold"/>
          <w:b/>
          <w:bCs/>
          <w:sz w:val="20"/>
          <w:szCs w:val="20"/>
        </w:rPr>
        <w:t>Glomerular filtration</w:t>
      </w:r>
    </w:p>
    <w:p w:rsidR="006541D3" w:rsidRDefault="006541D3" w:rsidP="006541D3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Proximal tubular secretion</w:t>
      </w:r>
    </w:p>
    <w:p w:rsidR="006541D3" w:rsidRDefault="006541D3" w:rsidP="006541D3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Distal tubular reabsorption</w:t>
      </w:r>
    </w:p>
    <w:p w:rsidR="006541D3" w:rsidRDefault="006541D3" w:rsidP="006541D3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Role of drug metabolism</w:t>
      </w:r>
      <w:r>
        <w:rPr>
          <w:lang w:bidi="ar-IQ"/>
        </w:rPr>
        <w:t xml:space="preserve"> 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</w:p>
    <w:p w:rsidR="006541D3" w:rsidRDefault="0016517E" w:rsidP="006541D3">
      <w:pPr>
        <w:pStyle w:val="a3"/>
        <w:autoSpaceDE w:val="0"/>
        <w:autoSpaceDN w:val="0"/>
        <w:bidi w:val="0"/>
        <w:adjustRightInd w:val="0"/>
        <w:spacing w:after="0" w:line="240" w:lineRule="auto"/>
        <w:ind w:left="420"/>
        <w:rPr>
          <w:lang w:bidi="ar-IQ"/>
        </w:rPr>
      </w:pPr>
      <w:r>
        <w:rPr>
          <w:rFonts w:ascii="Helvetica-Bold" w:cs="Helvetica-Bold"/>
          <w:b/>
          <w:bCs/>
          <w:sz w:val="24"/>
          <w:szCs w:val="24"/>
        </w:rPr>
        <w:t>CLEARANCE BY OTHER ROUTES</w:t>
      </w:r>
    </w:p>
    <w:p w:rsidR="0016517E" w:rsidRDefault="0016517E" w:rsidP="0016517E">
      <w:pPr>
        <w:pStyle w:val="a3"/>
        <w:autoSpaceDE w:val="0"/>
        <w:autoSpaceDN w:val="0"/>
        <w:bidi w:val="0"/>
        <w:adjustRightInd w:val="0"/>
        <w:spacing w:after="0" w:line="240" w:lineRule="auto"/>
        <w:ind w:left="420"/>
        <w:rPr>
          <w:lang w:bidi="ar-IQ"/>
        </w:rPr>
      </w:pPr>
      <w:r>
        <w:rPr>
          <w:lang w:bidi="ar-IQ"/>
        </w:rPr>
        <w:t xml:space="preserve"> 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Clinical situations resulting in changes in drug half-life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When a patient has an abnormality that alters the half-life of a drug,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adjustment in dosage is required. Patients who may have an increase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 drug half-life include those with 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1) diminished renal or hepatic blood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flow, for example, in cardiogenic shock, heart failure, or hemorrhage;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2) decreased ability to extract drug from plasma, for example, in renal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disease; and 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3) decreased metabolism, for example, when a concomitant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drug inhibits metabolism or in hepatic insufficiency, as with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cirrhosis. These patients may require a decrease in dosage or less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frequent dosing intervals.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sz w:val="20"/>
          <w:szCs w:val="20"/>
        </w:rPr>
        <w:t xml:space="preserve"> In contrast, the half-life of a drug may be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decreased by increased hepatic blood flow, decreased protein binding,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or increased metabolism. This may necessitate higher doses or</w:t>
      </w:r>
    </w:p>
    <w:p w:rsidR="0016517E" w:rsidRDefault="0016517E" w:rsidP="0016517E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more frequent dosing intervals.</w:t>
      </w:r>
    </w:p>
    <w:p w:rsidR="0016517E" w:rsidRDefault="0016517E" w:rsidP="0016517E">
      <w:pPr>
        <w:pStyle w:val="a3"/>
        <w:autoSpaceDE w:val="0"/>
        <w:autoSpaceDN w:val="0"/>
        <w:bidi w:val="0"/>
        <w:adjustRightInd w:val="0"/>
        <w:spacing w:after="0" w:line="240" w:lineRule="auto"/>
        <w:ind w:left="420"/>
        <w:rPr>
          <w:lang w:bidi="ar-IQ"/>
        </w:rPr>
      </w:pPr>
      <w:r>
        <w:rPr>
          <w:lang w:bidi="ar-IQ"/>
        </w:rPr>
        <w:t xml:space="preserve"> </w:t>
      </w:r>
    </w:p>
    <w:sectPr w:rsidR="0016517E" w:rsidSect="00F14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-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9A8"/>
    <w:multiLevelType w:val="hybridMultilevel"/>
    <w:tmpl w:val="C5C00722"/>
    <w:lvl w:ilvl="0" w:tplc="43AA4A7C">
      <w:start w:val="1"/>
      <w:numFmt w:val="lowerLetter"/>
      <w:lvlText w:val="%1."/>
      <w:lvlJc w:val="left"/>
      <w:pPr>
        <w:ind w:left="786" w:hanging="360"/>
      </w:pPr>
      <w:rPr>
        <w:rFonts w:ascii="Helvetica-Bold" w:hAnsiTheme="minorHAnsi" w:cs="Helvetica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A3150"/>
    <w:multiLevelType w:val="hybridMultilevel"/>
    <w:tmpl w:val="2390C2F0"/>
    <w:lvl w:ilvl="0" w:tplc="349CC7F2">
      <w:start w:val="1"/>
      <w:numFmt w:val="decimal"/>
      <w:lvlText w:val="%1."/>
      <w:lvlJc w:val="left"/>
      <w:pPr>
        <w:ind w:left="420" w:hanging="360"/>
      </w:pPr>
      <w:rPr>
        <w:rFonts w:ascii="Helvetica-Bold" w:cs="Helvetica-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D3"/>
    <w:rsid w:val="0016517E"/>
    <w:rsid w:val="006541D3"/>
    <w:rsid w:val="00F1432D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2015-12-11T04:37:00Z</dcterms:created>
  <dcterms:modified xsi:type="dcterms:W3CDTF">2015-12-11T04:50:00Z</dcterms:modified>
</cp:coreProperties>
</file>